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441—99.3</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Determining net income. </w:t>
      </w:r>
      <w:r>
        <w:rPr>
          <w:rFonts w:ascii="Times New Roman" w:hAnsi="Times New Roman"/>
          <w:b w:val="false"/>
          <w:i w:val="false"/>
          <w:color w:val="000000"/>
          <w:sz w:val="22"/>
        </w:rPr>
        <w:t>Unless otherwise specified in these rules, the child support recovery unit shall determine net income as prescribed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99.3(1)</w:t>
      </w:r>
      <w:r>
        <w:rPr>
          <w:rFonts w:ascii="Times New Roman" w:hAnsi="Times New Roman"/>
          <w:b w:val="false"/>
          <w:i w:val="false"/>
          <w:color w:val="000000"/>
          <w:sz w:val="22"/>
        </w:rPr>
        <w:t> </w:t>
      </w:r>
      <w:r>
        <w:rPr>
          <w:rFonts w:ascii="Times New Roman" w:hAnsi="Times New Roman"/>
          <w:b w:val="false"/>
          <w:i/>
          <w:color w:val="000000"/>
          <w:sz w:val="22"/>
        </w:rPr>
        <w:t xml:space="preserve">Calculating net income. </w:t>
      </w:r>
      <w:r>
        <w:rPr>
          <w:rFonts w:ascii="Times New Roman" w:hAnsi="Times New Roman"/>
          <w:b w:val="false"/>
          <w:i w:val="false"/>
          <w:color w:val="000000"/>
          <w:sz w:val="22"/>
        </w:rPr>
        <w:t xml:space="preserve">All includable income and allowable deductions shall be expressed in monthly amounts. Income and corresponding deductions received at a frequency other than monthly shall be converted to equivalent monthly amounts by multiplying the income and corresponding deductions received on a weekly basis by </w:t>
      </w:r>
      <w:hyperlink r:id="rId4">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on a biweekly basis by </w:t>
      </w:r>
      <w:hyperlink r:id="rId5">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and on a semimonthly basis by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w:t>
      </w:r>
      <w:r>
        <w:rPr>
          <w:rFonts w:ascii="Times New Roman" w:hAnsi="Times New Roman"/>
          <w:b w:val="false"/>
          <w:i w:val="false"/>
          <w:color w:val="000000"/>
          <w:sz w:val="22"/>
        </w:rPr>
        <w:t> </w:t>
      </w:r>
      <w:r>
        <w:rPr>
          <w:rFonts w:ascii="Times New Roman" w:hAnsi="Times New Roman"/>
          <w:b w:val="false"/>
          <w:i/>
          <w:color w:val="000000"/>
          <w:sz w:val="22"/>
        </w:rPr>
        <w:t xml:space="preserve">Estimating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net income of a parent shall be 80 percent of the reported income or the estimated income as determined from occupational wage rate information or derived from the median income of parents on the CSRU caseload, as appropriate, minus the deductions enumerated in subrules </w:t>
      </w:r>
      <w:hyperlink r:id="rId6">
        <w:r>
          <w:rPr>
            <w:rStyle w:val="Hyperlink"/>
            <w:rFonts w:ascii="Times New Roman" w:hAnsi="Times New Roman"/>
            <w:b w:val="false"/>
            <w:i w:val="false"/>
            <w:color w:val="000000"/>
            <w:sz w:val="22"/>
          </w:rPr>
          <w:t>99.2(3)</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99.2(8)</w:t>
        </w:r>
      </w:hyperlink>
      <w:r>
        <w:rPr>
          <w:rFonts w:ascii="Times New Roman" w:hAnsi="Times New Roman"/>
          <w:b w:val="false"/>
          <w:i w:val="false"/>
          <w:color w:val="000000"/>
          <w:sz w:val="22"/>
        </w:rPr>
        <w:t xml:space="preserve"> when the information to calculate these deductions is readily available through automated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 income of a parent shall be estimated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earned income information was obtained from a source that did not provide itemized deductions allowed by the mandatory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wage rate information or median income of parents on the CSRU caseload was used to determine a parent’s income.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4.33.pdf" Type="http://schemas.openxmlformats.org/officeDocument/2006/relationships/hyperlink" Id="rId4"/>
    <Relationship TargetMode="External" Target="https://www.legis.iowa.gov/docs/iac/rule/441.2.17.pdf" Type="http://schemas.openxmlformats.org/officeDocument/2006/relationships/hyperlink" Id="rId5"/>
    <Relationship TargetMode="External" Target="https://www.legis.iowa.gov/docs/iac/rule/441.99.2.pdf" Type="http://schemas.openxmlformats.org/officeDocument/2006/relationships/hyperlink" Id="rId6"/>
    <Relationship TargetMode="External" Target="https://www.legis.iowa.gov/docs/iac/rule/441.99.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