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441—99.29</w:t>
      </w:r>
      <w:r>
        <w:rPr>
          <w:rFonts w:ascii="Times New Roman" w:hAnsi="Times New Roman"/>
          <w:b/>
          <w:i w:val="false"/>
          <w:color w:val="000000"/>
          <w:sz w:val="22"/>
        </w:rPr>
        <w:t xml:space="preserve">(252F) </w:t>
      </w:r>
      <w:r>
        <w:rPr>
          <w:rFonts w:ascii="Times New Roman" w:hAnsi="Times New Roman"/>
          <w:b/>
          <w:i w:val="false"/>
          <w:color w:val="000000"/>
          <w:sz w:val="22"/>
        </w:rPr>
        <w:t xml:space="preserve">Agreement to entry of paternity and support order. </w:t>
      </w:r>
      <w:r>
        <w:rPr>
          <w:rFonts w:ascii="Times New Roman" w:hAnsi="Times New Roman"/>
          <w:b w:val="false"/>
          <w:i w:val="false"/>
          <w:color w:val="000000"/>
          <w:sz w:val="22"/>
        </w:rPr>
        <w:t xml:space="preserve">If the alleged father admits paternity and reaches agreement with the unit on the entry of an order for support, the father may acknowledge his consent on Form 470-4084. If the mother does not contest paternity within the allowed time period or if the mother waives the time period for contesting paternity, the unit may file the form, if applicable, and Administrative Paternity Order with the court in accordance with Iowa Code section </w:t>
      </w:r>
      <w:hyperlink r:id="rId4">
        <w:r>
          <w:rPr>
            <w:rStyle w:val="Hyperlink"/>
            <w:rFonts w:ascii="Times New Roman" w:hAnsi="Times New Roman"/>
            <w:b w:val="false"/>
            <w:i w:val="false"/>
            <w:color w:val="000000"/>
            <w:sz w:val="22"/>
          </w:rPr>
          <w:t>252F.6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F.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