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441—99.28</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test results challenge. </w:t>
      </w:r>
      <w:r>
        <w:rPr>
          <w:rFonts w:ascii="Times New Roman" w:hAnsi="Times New Roman"/>
          <w:b w:val="false"/>
          <w:i w:val="false"/>
          <w:color w:val="000000"/>
          <w:sz w:val="22"/>
        </w:rPr>
        <w:t>Either party or the unit may challenge the results of the paternity test by filing a written notice with the district court within 20 calendar days after the unit issues or mails the paternity test results to the parties. When a party challenges the paternity test results, and requests an additional paternity test, the unit shall order an additional blood or genetic test, if the party requesting the additional test pays for the additional testing in advance. If the party challenges the first paternity test results, but does not request additional tests, the unit may order additional blood or genetic tests.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