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441—99.25</w:t>
      </w:r>
      <w:r>
        <w:rPr>
          <w:rFonts w:ascii="Times New Roman" w:hAnsi="Times New Roman"/>
          <w:b/>
          <w:i w:val="false"/>
          <w:color w:val="000000"/>
          <w:sz w:val="22"/>
        </w:rPr>
        <w:t xml:space="preserve">(252F) </w:t>
      </w:r>
      <w:r>
        <w:rPr>
          <w:rFonts w:ascii="Times New Roman" w:hAnsi="Times New Roman"/>
          <w:b/>
          <w:i w:val="false"/>
          <w:color w:val="000000"/>
          <w:sz w:val="22"/>
        </w:rPr>
        <w:t xml:space="preserve">Amount of support obligation. </w:t>
      </w:r>
      <w:r>
        <w:rPr>
          <w:rFonts w:ascii="Times New Roman" w:hAnsi="Times New Roman"/>
          <w:b w:val="false"/>
          <w:i w:val="false"/>
          <w:color w:val="000000"/>
          <w:sz w:val="22"/>
        </w:rPr>
        <w:t xml:space="preserve">The unit shall determine the amount of the child support obligation accrued and accruing using the child support guidelines established by the Iowa Supreme Court, and pursuant to the provisions of Iowa Code section </w:t>
      </w:r>
      <w:hyperlink r:id="rId4">
        <w:r>
          <w:rPr>
            <w:rStyle w:val="Hyperlink"/>
            <w:rFonts w:ascii="Times New Roman" w:hAnsi="Times New Roman"/>
            <w:b w:val="false"/>
            <w:i w:val="false"/>
            <w:color w:val="000000"/>
            <w:sz w:val="22"/>
          </w:rPr>
          <w:t>252B.7A</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B.7A.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