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441—99.21</w:t>
      </w:r>
      <w:r>
        <w:rPr>
          <w:rFonts w:ascii="Times New Roman" w:hAnsi="Times New Roman"/>
          <w:b/>
          <w:i w:val="false"/>
          <w:color w:val="000000"/>
          <w:sz w:val="22"/>
        </w:rPr>
        <w:t xml:space="preserve">(252F) </w:t>
      </w:r>
      <w:r>
        <w:rPr>
          <w:rFonts w:ascii="Times New Roman" w:hAnsi="Times New Roman"/>
          <w:b/>
          <w:i w:val="false"/>
          <w:color w:val="000000"/>
          <w:sz w:val="22"/>
        </w:rPr>
        <w:t xml:space="preserve">When paternity may be established administratively. </w:t>
      </w:r>
      <w:r>
        <w:rPr>
          <w:rFonts w:ascii="Times New Roman" w:hAnsi="Times New Roman"/>
          <w:b w:val="false"/>
          <w:i w:val="false"/>
          <w:color w:val="000000"/>
          <w:sz w:val="22"/>
        </w:rPr>
        <w:t xml:space="preserve">The child support recovery unit may seek to administratively establish paternity and accrued or accruing child support and medical support obligations against an alleged father when the conditions specified in Iowa Code chapter </w:t>
      </w:r>
      <w:hyperlink r:id="rId4">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are met.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F.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