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441—99.111</w:t>
      </w:r>
      <w:r>
        <w:rPr>
          <w:rFonts w:ascii="Times New Roman" w:hAnsi="Times New Roman"/>
          <w:b/>
          <w:i w:val="false"/>
          <w:color w:val="000000"/>
          <w:sz w:val="22"/>
        </w:rPr>
        <w:t xml:space="preserve">(252B) </w:t>
      </w:r>
      <w:r>
        <w:rPr>
          <w:rFonts w:ascii="Times New Roman" w:hAnsi="Times New Roman"/>
          <w:b/>
          <w:i w:val="false"/>
          <w:color w:val="000000"/>
          <w:sz w:val="22"/>
        </w:rPr>
        <w:t xml:space="preserve">Determining eligibility for suspension. </w:t>
      </w:r>
      <w:r>
        <w:rPr>
          <w:rFonts w:ascii="Times New Roman" w:hAnsi="Times New Roman"/>
          <w:b w:val="false"/>
          <w:i w:val="false"/>
          <w:color w:val="000000"/>
          <w:sz w:val="22"/>
        </w:rPr>
        <w:t>Upon receipt of the request for suspension and the properly executed and notarized affidavit, the unit shall review the request and the affidavit to determine that the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99.111(1)</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not met. </w:t>
      </w:r>
      <w:r>
        <w:rPr>
          <w:rFonts w:ascii="Times New Roman" w:hAnsi="Times New Roman"/>
          <w:b w:val="false"/>
          <w:i w:val="false"/>
          <w:color w:val="000000"/>
          <w:sz w:val="22"/>
        </w:rPr>
        <w:t>If the criteria have not been met, the local unit providing services shall issue a written notice to the obligor indicating that the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be sent by first-class regular mail to the last-known address of the obligor or, if applicable, to the last-known address of the obligor’s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indicate the reason for denial and notify the obligor of the right to proceed through private counsel. Denial of the request is not subject to contested case proceedings or further review pursuant to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99.111(2)</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met. </w:t>
      </w:r>
      <w:r>
        <w:rPr>
          <w:rFonts w:ascii="Times New Roman" w:hAnsi="Times New Roman"/>
          <w:b w:val="false"/>
          <w:i w:val="false"/>
          <w:color w:val="000000"/>
          <w:sz w:val="22"/>
        </w:rPr>
        <w:t>If the criteria are met, the unit shall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serve Form 470-5351 and Form 470-5352 and supporting documents on the obligee by any means provided in Iowa Code section </w:t>
      </w:r>
      <w:hyperlink r:id="rId5">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The notice to the obligee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parties and the support order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procedure for suspension under Part B and reinstatement of support under Part C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rights and responsibilities of the obligee to respond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within 20 days of service, the obligee must submit a signed and notarized response to the unit objecting to at least one of the assertions in subrules </w:t>
      </w:r>
      <w:hyperlink r:id="rId6">
        <w:r>
          <w:rPr>
            <w:rStyle w:val="Hyperlink"/>
            <w:rFonts w:ascii="Times New Roman" w:hAnsi="Times New Roman"/>
            <w:b w:val="false"/>
            <w:i w:val="false"/>
            <w:color w:val="000000"/>
            <w:sz w:val="22"/>
          </w:rPr>
          <w:t>99.109(1)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99.109(4)</w:t>
        </w:r>
      </w:hyperlink>
      <w:r>
        <w:rPr>
          <w:rFonts w:ascii="Times New Roman" w:hAnsi="Times New Roman"/>
          <w:b w:val="false"/>
          <w:i w:val="false"/>
          <w:color w:val="000000"/>
          <w:sz w:val="22"/>
        </w:rPr>
        <w:t xml:space="preserve">. The statement shall inform the obligee that if, within 20 days of service, the obligee fails to submit a response as specified in this subparagraph, notwithstanding Rules of Civil Procedure </w:t>
      </w:r>
      <w:hyperlink r:id="rId8">
        <w:r>
          <w:rPr>
            <w:rStyle w:val="Hyperlink"/>
            <w:rFonts w:ascii="Times New Roman" w:hAnsi="Times New Roman"/>
            <w:b w:val="false"/>
            <w:i w:val="false"/>
            <w:color w:val="000000"/>
            <w:sz w:val="22"/>
          </w:rPr>
          <w:t>1.972(2)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1.972(3)</w:t>
        </w:r>
      </w:hyperlink>
      <w:r>
        <w:rPr>
          <w:rFonts w:ascii="Times New Roman" w:hAnsi="Times New Roman"/>
          <w:b w:val="false"/>
          <w:i w:val="false"/>
          <w:color w:val="000000"/>
          <w:sz w:val="22"/>
        </w:rPr>
        <w:t>, the unit will prepare and submit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sooner than 30 days after service on the obligee, the unit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submits a signed and notarized objection to at least one of the assertions in subrules </w:t>
      </w:r>
      <w:hyperlink r:id="rId10">
        <w:r>
          <w:rPr>
            <w:rStyle w:val="Hyperlink"/>
            <w:rFonts w:ascii="Times New Roman" w:hAnsi="Times New Roman"/>
            <w:b w:val="false"/>
            <w:i w:val="false"/>
            <w:color w:val="000000"/>
            <w:sz w:val="22"/>
          </w:rPr>
          <w:t>99.109(1)</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99.109(4)</w:t>
        </w:r>
      </w:hyperlink>
      <w:r>
        <w:rPr>
          <w:rFonts w:ascii="Times New Roman" w:hAnsi="Times New Roman"/>
          <w:b w:val="false"/>
          <w:i w:val="false"/>
          <w:color w:val="000000"/>
          <w:sz w:val="22"/>
        </w:rPr>
        <w:t xml:space="preserve">, deny the request and notify the parties in writing that the request is denied, providing reasons for the denial, and notifying the parties of the right to proceed through private counsel. Denial of the request is not subject to contested case proceedings or further review pursuant to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cannot be served, the local unit providing services shall issue a written notice to the obligor indicating the request is denied, following the procedure described in subrule </w:t>
      </w:r>
      <w:hyperlink r:id="rId13">
        <w:r>
          <w:rPr>
            <w:rStyle w:val="Hyperlink"/>
            <w:rFonts w:ascii="Times New Roman" w:hAnsi="Times New Roman"/>
            <w:b w:val="false"/>
            <w:i w:val="false"/>
            <w:color w:val="000000"/>
            <w:sz w:val="22"/>
          </w:rPr>
          <w:t>99.111(2)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does not timely submit a signed and notarized objection to the unit, prepare an order following the procedure described in rule </w:t>
      </w:r>
      <w:hyperlink r:id="rId14">
        <w:r>
          <w:rPr>
            <w:rStyle w:val="Hyperlink"/>
            <w:rFonts w:ascii="Times New Roman" w:hAnsi="Times New Roman"/>
            <w:b w:val="false"/>
            <w:i w:val="false"/>
            <w:color w:val="000000"/>
            <w:sz w:val="22"/>
          </w:rPr>
          <w:t>441—99.112</w:t>
        </w:r>
      </w:hyperlink>
      <w:r>
        <w:rPr>
          <w:rFonts w:ascii="Times New Roman" w:hAnsi="Times New Roman"/>
          <w:b w:val="false"/>
          <w:i w:val="false"/>
          <w:color w:val="000000"/>
          <w:sz w:val="22"/>
        </w:rPr>
        <w:t>(252B).</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252B.26.pdf" Type="http://schemas.openxmlformats.org/officeDocument/2006/relationships/hyperlink" Id="rId5"/>
    <Relationship TargetMode="External" Target="https://www.legis.iowa.gov/docs/iac/rule/441.99.109.pdf" Type="http://schemas.openxmlformats.org/officeDocument/2006/relationships/hyperlink" Id="rId6"/>
    <Relationship TargetMode="External" Target="https://www.legis.iowa.gov/docs/iac/rule/441.99.109.pdf" Type="http://schemas.openxmlformats.org/officeDocument/2006/relationships/hyperlink" Id="rId7"/>
    <Relationship TargetMode="External" Target="https://www.legis.iowa.gov/docs/iac/rule/441.1.972.pdf" Type="http://schemas.openxmlformats.org/officeDocument/2006/relationships/hyperlink" Id="rId8"/>
    <Relationship TargetMode="External" Target="https://www.legis.iowa.gov/docs/iac/rule/441.1.972.pdf" Type="http://schemas.openxmlformats.org/officeDocument/2006/relationships/hyperlink" Id="rId9"/>
    <Relationship TargetMode="External" Target="https://www.legis.iowa.gov/docs/iac/rule/441.99.109.pdf" Type="http://schemas.openxmlformats.org/officeDocument/2006/relationships/hyperlink" Id="rId10"/>
    <Relationship TargetMode="External" Target="https://www.legis.iowa.gov/docs/iac/rule/441.99.109.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rule/441.99.111.pdf" Type="http://schemas.openxmlformats.org/officeDocument/2006/relationships/hyperlink" Id="rId13"/>
    <Relationship TargetMode="External" Target="https://www.legis.iowa.gov/docs/iac/rule/441.99.112.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