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w:t>
      </w:r>
      <w:r>
        <w:rPr>
          <w:rFonts w:ascii="Times New Roman" w:hAnsi="Times New Roman"/>
          <w:b/>
          <w:i w:val="false"/>
          <w:color w:val="000000"/>
          <w:sz w:val="22"/>
        </w:rPr>
        <w:t xml:space="preserve">(234,252B,252H) </w:t>
      </w:r>
      <w:r>
        <w:rPr>
          <w:rFonts w:ascii="Times New Roman" w:hAnsi="Times New Roman"/>
          <w:b/>
          <w:i w:val="false"/>
          <w:color w:val="000000"/>
          <w:sz w:val="22"/>
        </w:rPr>
        <w:t xml:space="preserve">Income considered. </w:t>
      </w:r>
      <w:r>
        <w:rPr>
          <w:rFonts w:ascii="Times New Roman" w:hAnsi="Times New Roman"/>
          <w:b w:val="false"/>
          <w:i w:val="false"/>
          <w:color w:val="000000"/>
          <w:sz w:val="22"/>
        </w:rPr>
        <w:t xml:space="preserve">The child support recovery unit shall consider all regularly recurring income of both legal parents to determine the amount of the support award in accordance with the child support guidelines prescribed by the Iowa Supreme Court. Spousal support shall be considered as specified in the Iowa Supreme Court guidelines, and prior obligation spousal support actually paid or received shall be calculated in the same manner as the deductions for support in subrule 99.2(4). These rules on child support guidelines shall not apply if the child support recovery unit is determining the support amount by a cost-of-living alteration as provided in Iowa Code chapter </w:t>
      </w:r>
      <w:hyperlink r:id="rId4">
        <w:r>
          <w:rPr>
            <w:rStyle w:val="Hyperlink"/>
            <w:rFonts w:ascii="Times New Roman" w:hAnsi="Times New Roman"/>
            <w:b w:val="false"/>
            <w:i w:val="false"/>
            <w:color w:val="000000"/>
            <w:sz w:val="22"/>
          </w:rPr>
          <w:t>252H, subchapter IV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w:t>
      </w:r>
      <w:r>
        <w:rPr>
          <w:rFonts w:ascii="Times New Roman" w:hAnsi="Times New Roman"/>
          <w:b w:val="false"/>
          <w:i w:val="false"/>
          <w:color w:val="000000"/>
          <w:sz w:val="22"/>
        </w:rPr>
        <w:t> </w:t>
      </w:r>
      <w:r>
        <w:rPr>
          <w:rFonts w:ascii="Times New Roman" w:hAnsi="Times New Roman"/>
          <w:b w:val="false"/>
          <w:i/>
          <w:color w:val="000000"/>
          <w:sz w:val="22"/>
        </w:rPr>
        <w:t xml:space="preserve">Exempt income. </w:t>
      </w:r>
      <w:r>
        <w:rPr>
          <w:rFonts w:ascii="Times New Roman" w:hAnsi="Times New Roman"/>
          <w:b w:val="false"/>
          <w:i w:val="false"/>
          <w:color w:val="000000"/>
          <w:sz w:val="22"/>
        </w:rPr>
        <w:t>The following income of the parent is exempt in the establishment or modification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received by the parent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or other benefits derived from public assistance programs funded by a federal, state, or local governmental agency or entity that are listed in rule </w:t>
      </w:r>
      <w:hyperlink r:id="rId5">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 as exempt from consideration in determining eligibility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such as child support, social security dependent benefits received by a parent for a child because of the other parent’s disability, and veteran’s dependent benefits received by a parent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of a guardian who is not the child’s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Income of the child’s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w:t>
      </w:r>
      <w:r>
        <w:rPr>
          <w:rFonts w:ascii="Times New Roman" w:hAnsi="Times New Roman"/>
          <w:b w:val="false"/>
          <w:i w:val="false"/>
          <w:color w:val="000000"/>
          <w:sz w:val="22"/>
        </w:rPr>
        <w:t>Any of the following may be used in determining a parent’s income for establishing or modifying a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reported by the parent in a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established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verified by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reported to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public assistance recipient, income reported to the department of human services caseworker assigned to the public assistance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written documentation that identifies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as determined through occupational wage rate information published by the Iowa workforce development department or other state or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median income for parents on the CSRU caseload, calculated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security dependent benefits. Social security dependent benefits paid for a child because of a parent’s disability shall be included in the disabled parent’s income. Social security dependent benefits paid for a parent due to the other parent’s disability shall be included in the receiving 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Verification of income and allowable deductions from each parent shall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W-2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 stubs.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Self-employment bookkeeping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Award letters confirming entitlement to benefits under a program administered by a government or private agency such as social security, veterans’ or unemployment benefits, military or civil service retirement or pension plans,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Cases in which the information or verification provided by a parent is questionable or inconsistent with other circumstances of the case may be investigated. If the investigation does not reveal any inconsistencies, the financial statement and other documentation provided by the parent shall be used to establish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discrepancies exist in the financial statement provided by the parent and additional income information is not available, the child support recovery unit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hearing before the court if attempting to establish a support order through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discovery if a parent places the matter before the court by answering a petition or requesting a hearing before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attempting to establish a default order, provide the court with a copy of the parent’s financial information and the reasons the information may be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child support recovery unit is unable to obtain verification of a parent’s income, the financial statement provided by the parent may be used to establish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w:t>
      </w:r>
      <w:r>
        <w:rPr>
          <w:rFonts w:ascii="Times New Roman" w:hAnsi="Times New Roman"/>
          <w:b w:val="false"/>
          <w:i w:val="false"/>
          <w:color w:val="000000"/>
          <w:sz w:val="22"/>
        </w:rPr>
        <w:t> </w:t>
      </w:r>
      <w:r>
        <w:rPr>
          <w:rFonts w:ascii="Times New Roman" w:hAnsi="Times New Roman"/>
          <w:b w:val="false"/>
          <w:i/>
          <w:color w:val="000000"/>
          <w:sz w:val="22"/>
        </w:rPr>
        <w:t xml:space="preserve">Use of occupational wage rate information or median income for parents on the CSRU caseload. </w:t>
      </w:r>
      <w:r>
        <w:rPr>
          <w:rFonts w:ascii="Times New Roman" w:hAnsi="Times New Roman"/>
          <w:b w:val="false"/>
          <w:i w:val="false"/>
          <w:color w:val="000000"/>
          <w:sz w:val="22"/>
        </w:rPr>
        <w:t>CSRU shall use occupational wage rate information or median income for parents on the CSRU caseload to determine a parent’s income when the parent has failed to return a completed financial statement when requested, and when complete and accurate income information from other readily available sources cannot be secured. If a parent’s most recent residential address is in Iowa, CSRU shall use Iowa workforce development regional data to determine income. If a parent’s most recent residential address is in another state, the District of Columbia, or Puerto Rico, CSRU shall use wage data from the place of the parent’s most recent residence to determine income. For all other cases, CSRU shall use Iowa statewide occupational wage rate or median income for parents on the CSRU caseload to determine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known. </w:t>
      </w:r>
      <w:r>
        <w:rPr>
          <w:rFonts w:ascii="Times New Roman" w:hAnsi="Times New Roman"/>
          <w:b w:val="false"/>
          <w:i w:val="false"/>
          <w:color w:val="000000"/>
          <w:sz w:val="22"/>
        </w:rPr>
        <w:t xml:space="preserve">When CSRU can reasonably ascertain the current or last-known occupation of a parent, CSRU shall use occupational wage rate information to determine income. Wage rate information shall be converted to a monthly amount in accordance with subrule </w:t>
      </w:r>
      <w:hyperlink r:id="rId6">
        <w:r>
          <w:rPr>
            <w:rStyle w:val="Hyperlink"/>
            <w:rFonts w:ascii="Times New Roman" w:hAnsi="Times New Roman"/>
            <w:b w:val="false"/>
            <w:i w:val="false"/>
            <w:color w:val="000000"/>
            <w:sz w:val="22"/>
          </w:rPr>
          <w:t>99.3(1)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 unknown. </w:t>
      </w:r>
      <w:r>
        <w:rPr>
          <w:rFonts w:ascii="Times New Roman" w:hAnsi="Times New Roman"/>
          <w:b w:val="false"/>
          <w:i w:val="false"/>
          <w:color w:val="000000"/>
          <w:sz w:val="22"/>
        </w:rPr>
        <w:t>When CSRU cannot reasonably ascertain the current or last-known occupation of a parent, CSRU shall determine the income of a parent using the median income amount for parents on the CSRU caseload, based upon the parent’s most recent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A self-employed parent’s adjusted gross income, rather than the net taxable income, shall be used in determining net income. The adjusted gross income shall be computed by deducting business expenses involving actual cash expenditures that affect the actual dollar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calculating net income from self-employment, the child support recovery unit shall deduct only those items allowed by the child support guidelines. Amounts from a prior period claimed as net losses shall not be allowed as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Net profits from self-employment may be determined through a review of self-employment bookkeeping records, sales and expenditure records, quarterly reports filed with the IRS, previous year’s federal or state income tax returns, or other documentation. The parent shall provide records of bookkeeping, sales, and expenditures for the most recent 12-month period or, if the self-employment is less than 12 months old, for the period since the self-employment began.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w:t>
      </w:r>
      <w:r>
        <w:rPr>
          <w:rFonts w:ascii="Times New Roman" w:hAnsi="Times New Roman"/>
          <w:b w:val="false"/>
          <w:i w:val="false"/>
          <w:color w:val="000000"/>
          <w:sz w:val="22"/>
        </w:rPr>
        <w:t> </w:t>
      </w:r>
      <w:r>
        <w:rPr>
          <w:rFonts w:ascii="Times New Roman" w:hAnsi="Times New Roman"/>
          <w:b w:val="false"/>
          <w:i/>
          <w:color w:val="000000"/>
          <w:sz w:val="22"/>
        </w:rPr>
        <w:t xml:space="preserve">Fluctuating income. </w:t>
      </w:r>
      <w:r>
        <w:rPr>
          <w:rFonts w:ascii="Times New Roman" w:hAnsi="Times New Roman"/>
          <w:b w:val="false"/>
          <w:i w:val="false"/>
          <w:color w:val="000000"/>
          <w:sz w:val="22"/>
        </w:rPr>
        <w:t xml:space="preserve">A person has a fluctuating income when the calculated gross income or the adjusted gross income, as defined in subrule </w:t>
      </w:r>
      <w:hyperlink r:id="rId7">
        <w:r>
          <w:rPr>
            <w:rStyle w:val="Hyperlink"/>
            <w:rFonts w:ascii="Times New Roman" w:hAnsi="Times New Roman"/>
            <w:b w:val="false"/>
            <w:i w:val="false"/>
            <w:color w:val="000000"/>
            <w:sz w:val="22"/>
          </w:rPr>
          <w:t>99.1(5)</w:t>
        </w:r>
      </w:hyperlink>
      <w:r>
        <w:rPr>
          <w:rFonts w:ascii="Times New Roman" w:hAnsi="Times New Roman"/>
          <w:b w:val="false"/>
          <w:i w:val="false"/>
          <w:color w:val="000000"/>
          <w:sz w:val="22"/>
        </w:rPr>
        <w:t>, for the current year varies from the gross or adjusted gross income of the previous year by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requested, the child support recovery unit shall average the income of a person whose income fluctuated because the nature of the person’s occupation is of a type that normally experiences fluctuations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a person’s average income, the following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non-self-employed persons, the child support recovery unit shall estimate the gross income for the current year and add the amount to the gross income from relevant years that would accurately depict fluctuations in the person’s income. The unit shall divide this sum by the number of years added, prior and current, to arrive at an average gross annual income. The unit shall divide the average gross annual income by 12 to arrive at the person’s average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from self-employment, the child support recovery unit shall compute the adjusted gross annual income as defined in subrule </w:t>
      </w:r>
      <w:hyperlink r:id="rId8">
        <w:r>
          <w:rPr>
            <w:rStyle w:val="Hyperlink"/>
            <w:rFonts w:ascii="Times New Roman" w:hAnsi="Times New Roman"/>
            <w:b w:val="false"/>
            <w:i w:val="false"/>
            <w:color w:val="000000"/>
            <w:sz w:val="22"/>
          </w:rPr>
          <w:t>99.1(5)</w:t>
        </w:r>
      </w:hyperlink>
      <w:r>
        <w:rPr>
          <w:rFonts w:ascii="Times New Roman" w:hAnsi="Times New Roman"/>
          <w:b w:val="false"/>
          <w:i w:val="false"/>
          <w:color w:val="000000"/>
          <w:sz w:val="22"/>
        </w:rPr>
        <w:t xml:space="preserve"> for the relevant years that would accurately depict fluctuations in the person’s income. The unit shall use the adjusted gross annual income to compute the average adjusted gross monthly income in the same manner as the computation of average gross monthly income in </w:t>
      </w:r>
      <w:hyperlink r:id="rId9">
        <w:r>
          <w:rPr>
            <w:rStyle w:val="Hyperlink"/>
            <w:rFonts w:ascii="Times New Roman" w:hAnsi="Times New Roman"/>
            <w:b w:val="false"/>
            <w:i w:val="false"/>
            <w:color w:val="000000"/>
            <w:sz w:val="22"/>
          </w:rPr>
          <w:t>99.1(6)</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H.pdf" Type="http://schemas.openxmlformats.org/officeDocument/2006/relationships/hyperlink" Id="rId4"/>
    <Relationship TargetMode="External" Target="https://www.legis.iowa.gov/docs/iac/rule/441.41.27.pdf" Type="http://schemas.openxmlformats.org/officeDocument/2006/relationships/hyperlink" Id="rId5"/>
    <Relationship TargetMode="External" Target="https://www.legis.iowa.gov/docs/iac/rule/441.99.3.pdf" Type="http://schemas.openxmlformats.org/officeDocument/2006/relationships/hyperlink" Id="rId6"/>
    <Relationship TargetMode="External" Target="https://www.legis.iowa.gov/docs/iac/rule/441.99.1.pdf" Type="http://schemas.openxmlformats.org/officeDocument/2006/relationships/hyperlink" Id="rId7"/>
    <Relationship TargetMode="External" Target="https://www.legis.iowa.gov/docs/iac/rule/441.99.1.pdf" Type="http://schemas.openxmlformats.org/officeDocument/2006/relationships/hyperlink" Id="rId8"/>
    <Relationship TargetMode="External" Target="https://www.legis.iowa.gov/docs/iac/rule/441.99.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