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441—98.97</w:t>
      </w:r>
      <w:r>
        <w:rPr>
          <w:rFonts w:ascii="Times New Roman" w:hAnsi="Times New Roman"/>
          <w:b/>
          <w:i w:val="false"/>
          <w:color w:val="000000"/>
          <w:sz w:val="22"/>
        </w:rPr>
        <w:t xml:space="preserve">(252I) </w:t>
      </w:r>
      <w:r>
        <w:rPr>
          <w:rFonts w:ascii="Times New Roman" w:hAnsi="Times New Roman"/>
          <w:b/>
          <w:i w:val="false"/>
          <w:color w:val="000000"/>
          <w:sz w:val="22"/>
        </w:rPr>
        <w:t xml:space="preserve">Challenging the administrative levy. </w:t>
      </w:r>
      <w:r>
        <w:rPr>
          <w:rFonts w:ascii="Times New Roman" w:hAnsi="Times New Roman"/>
          <w:b w:val="false"/>
          <w:i w:val="false"/>
          <w:color w:val="000000"/>
          <w:sz w:val="22"/>
        </w:rPr>
        <w:t xml:space="preserve">An obligor or an account holder of interest may challenge the administrative levy by submitting a written challenge to the person identified as the contact for the unit in the notice, within ten working days of the date of the notice to the obligor as specified in rule </w:t>
      </w:r>
      <w:hyperlink r:id="rId4">
        <w:r>
          <w:rPr>
            <w:rStyle w:val="Hyperlink"/>
            <w:rFonts w:ascii="Times New Roman" w:hAnsi="Times New Roman"/>
            <w:b w:val="false"/>
            <w:i w:val="false"/>
            <w:color w:val="000000"/>
            <w:sz w:val="22"/>
          </w:rPr>
          <w:t>441—98.95</w:t>
        </w:r>
      </w:hyperlink>
      <w:r>
        <w:rPr>
          <w:rFonts w:ascii="Times New Roman" w:hAnsi="Times New Roman"/>
          <w:b w:val="false"/>
          <w:i w:val="false"/>
          <w:color w:val="000000"/>
          <w:sz w:val="22"/>
        </w:rPr>
        <w:t xml:space="preserve">(252I). Upon receipt of a challenge, the unit shall follow criteria and procedures specified in Iowa Code section </w:t>
      </w:r>
      <w:hyperlink r:id="rId5">
        <w:r>
          <w:rPr>
            <w:rStyle w:val="Hyperlink"/>
            <w:rFonts w:ascii="Times New Roman" w:hAnsi="Times New Roman"/>
            <w:b w:val="false"/>
            <w:i w:val="false"/>
            <w:color w:val="000000"/>
            <w:sz w:val="22"/>
          </w:rPr>
          <w:t>252I.8</w:t>
        </w:r>
      </w:hyperlink>
      <w:r>
        <w:rPr>
          <w:rFonts w:ascii="Times New Roman" w:hAnsi="Times New Roman"/>
          <w:b w:val="false"/>
          <w:i w:val="false"/>
          <w:color w:val="000000"/>
          <w:sz w:val="22"/>
        </w:rPr>
        <w:t xml:space="preserve"> for resolving the challenge.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98.97(1)</w:t>
      </w:r>
      <w:r>
        <w:rPr>
          <w:rFonts w:ascii="Times New Roman" w:hAnsi="Times New Roman"/>
          <w:b w:val="false"/>
          <w:i w:val="false"/>
          <w:color w:val="000000"/>
          <w:sz w:val="22"/>
        </w:rPr>
        <w:t> </w:t>
      </w:r>
      <w:r>
        <w:rPr>
          <w:rFonts w:ascii="Times New Roman" w:hAnsi="Times New Roman"/>
          <w:b w:val="false"/>
          <w:i/>
          <w:color w:val="000000"/>
          <w:sz w:val="22"/>
        </w:rPr>
        <w:t xml:space="preserve">Review of facts. </w:t>
      </w:r>
      <w:r>
        <w:rPr>
          <w:rFonts w:ascii="Times New Roman" w:hAnsi="Times New Roman"/>
          <w:b w:val="false"/>
          <w:i w:val="false"/>
          <w:color w:val="000000"/>
          <w:sz w:val="22"/>
        </w:rPr>
        <w:t>The unit shall, upon receipt of a written challenge, review the facts of the case with the challenging party. Only a mistake of fact including, but not limited to, a mistake in the identity of the obligor or a mistake in the amount of delinquent support due shall be considered as a reason to dismiss or modify the proceeding. If the unit determines that a mistake of fact has occurred, the unit shall proceed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mistake in identity has occurred or the obligor is not delinquent in an amount equal to the payment for one month, the unit shall notify the financial institution and the obligor that the administrative levy has been released.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amount of support due was incorrectly overstated, the unit shall notify the financial institution to release the excess moneys to the obligor and remit the remaining moneys.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98.97(2)</w:t>
      </w:r>
      <w:r>
        <w:rPr>
          <w:rFonts w:ascii="Times New Roman" w:hAnsi="Times New Roman"/>
          <w:b w:val="false"/>
          <w:i w:val="false"/>
          <w:color w:val="000000"/>
          <w:sz w:val="22"/>
        </w:rPr>
        <w:t> </w:t>
      </w:r>
      <w:r>
        <w:rPr>
          <w:rFonts w:ascii="Times New Roman" w:hAnsi="Times New Roman"/>
          <w:b w:val="false"/>
          <w:i/>
          <w:color w:val="000000"/>
          <w:sz w:val="22"/>
        </w:rPr>
        <w:t xml:space="preserve">Refunds of amounts improperly held. </w:t>
      </w:r>
      <w:r>
        <w:rPr>
          <w:rFonts w:ascii="Times New Roman" w:hAnsi="Times New Roman"/>
          <w:b w:val="false"/>
          <w:i w:val="false"/>
          <w:color w:val="000000"/>
          <w:sz w:val="22"/>
        </w:rPr>
        <w:t>If a mistake of fact has occurred and money has already been forwarded from the financial institution, the unit shall proceed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mistake in identity has occurred or the obligor is not delinquent in an amount equal to the payment for one month, the unit shall refund the funds to the account and reimburse the account for any fees assessed by the financial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amount of support due was incorrectly overstated, the unit shall refund a portion to the account. The unit is not required to reimburse the account for fees.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98.97(3)</w:t>
      </w:r>
      <w:r>
        <w:rPr>
          <w:rFonts w:ascii="Times New Roman" w:hAnsi="Times New Roman"/>
          <w:b w:val="false"/>
          <w:i w:val="false"/>
          <w:color w:val="000000"/>
          <w:sz w:val="22"/>
        </w:rPr>
        <w:t> </w:t>
      </w:r>
      <w:r>
        <w:rPr>
          <w:rFonts w:ascii="Times New Roman" w:hAnsi="Times New Roman"/>
          <w:b w:val="false"/>
          <w:i/>
          <w:color w:val="000000"/>
          <w:sz w:val="22"/>
        </w:rPr>
        <w:t xml:space="preserve">Request for district court hearing. </w:t>
      </w:r>
      <w:r>
        <w:rPr>
          <w:rFonts w:ascii="Times New Roman" w:hAnsi="Times New Roman"/>
          <w:b w:val="false"/>
          <w:i w:val="false"/>
          <w:color w:val="000000"/>
          <w:sz w:val="22"/>
        </w:rPr>
        <w:t xml:space="preserve">If no mistake of fact is found, the unit shall send a notice to the challenging party by first-class mail. An obligor or an account holder may submit a second written challenge to the person identified as the contact for the unit in the notice, within ten working days of the date of the notice. The unit shall request a hearing before the district court in the county the support order is filed. Procedures for filing a hearing are specified in Iowa Code chapter </w:t>
      </w:r>
      <w:hyperlink r:id="rId6">
        <w:r>
          <w:rPr>
            <w:rStyle w:val="Hyperlink"/>
            <w:rFonts w:ascii="Times New Roman" w:hAnsi="Times New Roman"/>
            <w:b w:val="false"/>
            <w:i w:val="false"/>
            <w:color w:val="000000"/>
            <w:sz w:val="22"/>
          </w:rPr>
          <w:t>252I</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98.97(4)</w:t>
      </w:r>
      <w:r>
        <w:rPr>
          <w:rFonts w:ascii="Times New Roman" w:hAnsi="Times New Roman"/>
          <w:b w:val="false"/>
          <w:i w:val="false"/>
          <w:color w:val="000000"/>
          <w:sz w:val="22"/>
        </w:rPr>
        <w:t> </w:t>
      </w:r>
      <w:r>
        <w:rPr>
          <w:rFonts w:ascii="Times New Roman" w:hAnsi="Times New Roman"/>
          <w:b w:val="false"/>
          <w:i/>
          <w:color w:val="000000"/>
          <w:sz w:val="22"/>
        </w:rPr>
        <w:t xml:space="preserve">Request for withdrawal. </w:t>
      </w:r>
      <w:r>
        <w:rPr>
          <w:rFonts w:ascii="Times New Roman" w:hAnsi="Times New Roman"/>
          <w:b w:val="false"/>
          <w:i w:val="false"/>
          <w:color w:val="000000"/>
          <w:sz w:val="22"/>
        </w:rPr>
        <w:t>The challenging party may withdraw the challenge by submitting a written withdrawal to the person identified as the contact person for the unit in the notice at any time prior to the court hearing. The unit may withdraw the administrative levy at any time prior to the court hearing. The unit shall provide notice of the withdrawal to the financial institution and any account holder of interest by first-class mail.</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98.95.pdf" Type="http://schemas.openxmlformats.org/officeDocument/2006/relationships/hyperlink" Id="rId4"/>
    <Relationship TargetMode="External" Target="https://www.legis.iowa.gov/docs/ico/chapter/252I.8.pdf" Type="http://schemas.openxmlformats.org/officeDocument/2006/relationships/hyperlink" Id="rId5"/>
    <Relationship TargetMode="External" Target="https://www.legis.iowa.gov/docs/ico/chapter/252I.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