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441—98.95</w:t>
      </w:r>
      <w:r>
        <w:rPr>
          <w:rFonts w:ascii="Times New Roman" w:hAnsi="Times New Roman"/>
          <w:b/>
          <w:i w:val="false"/>
          <w:color w:val="000000"/>
          <w:sz w:val="22"/>
        </w:rPr>
        <w:t xml:space="preserve">(252I) </w:t>
      </w:r>
      <w:r>
        <w:rPr>
          <w:rFonts w:ascii="Times New Roman" w:hAnsi="Times New Roman"/>
          <w:b/>
          <w:i w:val="false"/>
          <w:color w:val="000000"/>
          <w:sz w:val="22"/>
        </w:rPr>
        <w:t xml:space="preserve">Notice to support obligor. </w:t>
      </w:r>
      <w:r>
        <w:rPr>
          <w:rFonts w:ascii="Times New Roman" w:hAnsi="Times New Roman"/>
          <w:b w:val="false"/>
          <w:i w:val="false"/>
          <w:color w:val="000000"/>
          <w:sz w:val="22"/>
        </w:rPr>
        <w:t xml:space="preserve">The unit shall notify an obligor, and any other party known to have an interest in the account, of the action. The notice shall contain all of the information specified in Iowa Code chapter </w:t>
      </w:r>
      <w:hyperlink r:id="rId4">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The unit shall forward the notice by first-class mail within two working days of sending the notice to the financial institution. Proof of service shall be completed according to Rule of Civil Procedure 1.442.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I.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