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441—98.83</w:t>
      </w:r>
      <w:r>
        <w:rPr>
          <w:rFonts w:ascii="Times New Roman" w:hAnsi="Times New Roman"/>
          <w:b/>
          <w:i w:val="false"/>
          <w:color w:val="000000"/>
          <w:sz w:val="22"/>
        </w:rPr>
        <w:t xml:space="preserve">(252B) </w:t>
      </w:r>
      <w:r>
        <w:rPr>
          <w:rFonts w:ascii="Times New Roman" w:hAnsi="Times New Roman"/>
          <w:b/>
          <w:i w:val="false"/>
          <w:color w:val="000000"/>
          <w:sz w:val="22"/>
        </w:rPr>
        <w:t xml:space="preserve">Offset against state income tax refund or rebate. </w:t>
      </w:r>
      <w:r>
        <w:rPr>
          <w:rFonts w:ascii="Times New Roman" w:hAnsi="Times New Roman"/>
          <w:b w:val="false"/>
          <w:i w:val="false"/>
          <w:color w:val="000000"/>
          <w:sz w:val="22"/>
        </w:rPr>
        <w:t xml:space="preserve">The department will make a claim against an obligor’s state income tax refund or rebate when a support payment is delinquent as set forth in </w:t>
      </w:r>
      <w:hyperlink r:id="rId4">
        <w:r>
          <w:rPr>
            <w:rStyle w:val="Hyperlink"/>
            <w:rFonts w:ascii="Times New Roman" w:hAnsi="Times New Roman"/>
            <w:b w:val="false"/>
            <w:i w:val="false"/>
            <w:color w:val="000000"/>
            <w:sz w:val="22"/>
          </w:rPr>
          <w:t>11—Chapter 40</w:t>
        </w:r>
      </w:hyperlink>
      <w:r>
        <w:rPr>
          <w:rFonts w:ascii="Times New Roman" w:hAnsi="Times New Roman"/>
          <w:b w:val="false"/>
          <w:i w:val="false"/>
          <w:color w:val="000000"/>
          <w:sz w:val="22"/>
        </w:rPr>
        <w:t>. A claim against an obligor’s state income tax refund or rebate shall apply to support which the department is attempting to collect.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98.83(1)</w:t>
      </w:r>
      <w:r>
        <w:rPr>
          <w:rFonts w:ascii="Times New Roman" w:hAnsi="Times New Roman"/>
          <w:b w:val="false"/>
          <w:i w:val="false"/>
          <w:color w:val="000000"/>
          <w:sz w:val="22"/>
        </w:rPr>
        <w:t> </w:t>
      </w:r>
      <w:r>
        <w:rPr>
          <w:rFonts w:ascii="Times New Roman" w:hAnsi="Times New Roman"/>
          <w:b w:val="false"/>
          <w:i w:val="false"/>
          <w:color w:val="000000"/>
          <w:sz w:val="22"/>
        </w:rPr>
        <w:t>By the first day of each month, the department shall submit to the department of administrative services a list of obligors who are delinquent at least $50 in support payments.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98.83(2)</w:t>
      </w:r>
      <w:r>
        <w:rPr>
          <w:rFonts w:ascii="Times New Roman" w:hAnsi="Times New Roman"/>
          <w:b w:val="false"/>
          <w:i w:val="false"/>
          <w:color w:val="000000"/>
          <w:sz w:val="22"/>
        </w:rPr>
        <w:t> </w:t>
      </w:r>
      <w:r>
        <w:rPr>
          <w:rFonts w:ascii="Times New Roman" w:hAnsi="Times New Roman"/>
          <w:b w:val="false"/>
          <w:i w:val="false"/>
          <w:color w:val="000000"/>
          <w:sz w:val="22"/>
        </w:rPr>
        <w:t>When the department claims an obligor’s state income tax refund or rebate, the department shall send a preoffset notice to the obligor to inform the obligor of the amount the department intends to claim and apply to support. The department shall send a preoffset notice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of administrative services notifies the department that the obligor is entitled to a state income tax refund or rebate;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obligor has a delinquency of $50 or greater.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98.83(3)</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obligor wishes to contest a claim, a written request shall be submitted to the department within 15 days of the date of the preoffset notice. When the request is received within the 15-day limit, a hearing shall be granted pursuant to rules in </w:t>
      </w:r>
      <w:hyperlink r:id="rId5">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 xml:space="preserve">. Except as specifically provided in this rule, administrative appeals will be governed by </w:t>
      </w:r>
      <w:hyperlink r:id="rId6">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 The issue on appeal shall be limited to a mistake of fact. Any other issue may be determined only by a court of competent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98.83(4)</w:t>
      </w:r>
      <w:r>
        <w:rPr>
          <w:rFonts w:ascii="Times New Roman" w:hAnsi="Times New Roman"/>
          <w:b w:val="false"/>
          <w:i w:val="false"/>
          <w:color w:val="000000"/>
          <w:sz w:val="22"/>
        </w:rPr>
        <w:t> </w:t>
      </w:r>
      <w:r>
        <w:rPr>
          <w:rFonts w:ascii="Times New Roman" w:hAnsi="Times New Roman"/>
          <w:b w:val="false"/>
          <w:i w:val="false"/>
          <w:color w:val="000000"/>
          <w:sz w:val="22"/>
        </w:rPr>
        <w:t>The spouse’s proportionate share of a joint return filed with an obligor, as determined by the department of revenue, shall be released by the department of revenue unless other claims are made on that portion of the joint income tax refund. The request for release of a spouse’s proportionate share shall be received by the department within 15 days of the date of the preoffset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98.83(5)</w:t>
      </w:r>
      <w:r>
        <w:rPr>
          <w:rFonts w:ascii="Times New Roman" w:hAnsi="Times New Roman"/>
          <w:b w:val="false"/>
          <w:i w:val="false"/>
          <w:color w:val="000000"/>
          <w:sz w:val="22"/>
        </w:rPr>
        <w:t> </w:t>
      </w:r>
      <w:r>
        <w:rPr>
          <w:rFonts w:ascii="Times New Roman" w:hAnsi="Times New Roman"/>
          <w:b w:val="false"/>
          <w:i w:val="false"/>
          <w:color w:val="000000"/>
          <w:sz w:val="22"/>
        </w:rPr>
        <w:t>The department shall refund any amount incorrectly offset to the obligor unless the obligor agrees in writing to apply the refund of the incorrect offset to any other support obligation due.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98.83(6)</w:t>
      </w:r>
      <w:r>
        <w:rPr>
          <w:rFonts w:ascii="Times New Roman" w:hAnsi="Times New Roman"/>
          <w:b w:val="false"/>
          <w:i w:val="false"/>
          <w:color w:val="000000"/>
          <w:sz w:val="22"/>
        </w:rPr>
        <w:t> </w:t>
      </w:r>
      <w:r>
        <w:rPr>
          <w:rFonts w:ascii="Times New Roman" w:hAnsi="Times New Roman"/>
          <w:b w:val="false"/>
          <w:i w:val="false"/>
          <w:color w:val="000000"/>
          <w:sz w:val="22"/>
        </w:rPr>
        <w:t>The department shall notify an obligor of the final decision regarding the claim against the tax refund or rebate by sending a final disposition of support recovery claim notice to the obligor.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98.83(7)</w:t>
      </w:r>
      <w:r>
        <w:rPr>
          <w:rFonts w:ascii="Times New Roman" w:hAnsi="Times New Roman"/>
          <w:b w:val="false"/>
          <w:i w:val="false"/>
          <w:color w:val="000000"/>
          <w:sz w:val="22"/>
        </w:rPr>
        <w:t> </w:t>
      </w:r>
      <w:r>
        <w:rPr>
          <w:rFonts w:ascii="Times New Roman" w:hAnsi="Times New Roman"/>
          <w:b w:val="false"/>
          <w:i w:val="false"/>
          <w:color w:val="000000"/>
          <w:sz w:val="22"/>
        </w:rPr>
        <w:t xml:space="preserve">Offsets shall be applied as provided in rule </w:t>
      </w:r>
      <w:hyperlink r:id="rId7">
        <w:r>
          <w:rPr>
            <w:rStyle w:val="Hyperlink"/>
            <w:rFonts w:ascii="Times New Roman" w:hAnsi="Times New Roman"/>
            <w:b w:val="false"/>
            <w:i w:val="false"/>
            <w:color w:val="000000"/>
            <w:sz w:val="22"/>
          </w:rPr>
          <w:t>441—95.3</w:t>
        </w:r>
      </w:hyperlink>
      <w:r>
        <w:rPr>
          <w:rFonts w:ascii="Times New Roman" w:hAnsi="Times New Roman"/>
          <w:b w:val="false"/>
          <w:i w:val="false"/>
          <w:color w:val="000000"/>
          <w:sz w:val="22"/>
        </w:rPr>
        <w:t xml:space="preserve">(252B). </w:t>
      </w:r>
    </w:p>
    <w:p>
      <w:pPr>
        <w:spacing w:before="0" w:after="0"/>
        <w:ind w:left="120"/>
        <w:jc w:val="left"/>
      </w:pPr>
      <w:r>
        <w:rPr>
          <w:rFonts w:ascii="Times New Roman" w:hAnsi="Times New Roman"/>
          <w:b w:val="false"/>
          <w:i w:val="false"/>
          <w:color w:val="000000"/>
          <w:sz w:val="22"/>
        </w:rPr>
        <w:t xml:space="preserve">This rule is intended to implement Iowa Code sections </w:t>
      </w:r>
      <w:hyperlink r:id="rId8">
        <w:r>
          <w:rPr>
            <w:rStyle w:val="Hyperlink"/>
            <w:rFonts w:ascii="Times New Roman" w:hAnsi="Times New Roman"/>
            <w:b w:val="false"/>
            <w:i w:val="false"/>
            <w:color w:val="000000"/>
            <w:sz w:val="22"/>
          </w:rPr>
          <w:t>8A.504</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252B.3</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252B.4</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252B.5(4)</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5417C</w:t>
      </w:r>
      <w:r>
        <w:rPr>
          <w:rFonts w:ascii="Times New Roman" w:hAnsi="Times New Roman"/>
          <w:b w:val="false"/>
          <w:i w:val="false"/>
          <w:color w:val="000000"/>
          <w:sz w:val="16"/>
        </w:rPr>
        <w:t>, IAB 2/10/21, effective 4/1/21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11.40.pdf" Type="http://schemas.openxmlformats.org/officeDocument/2006/relationships/hyperlink" Id="rId4"/>
    <Relationship TargetMode="External" Target="https://www.legis.iowa.gov/docs/iac/chapter/441.7.pdf" Type="http://schemas.openxmlformats.org/officeDocument/2006/relationships/hyperlink" Id="rId5"/>
    <Relationship TargetMode="External" Target="https://www.legis.iowa.gov/docs/iac/chapter/441.7.pdf" Type="http://schemas.openxmlformats.org/officeDocument/2006/relationships/hyperlink" Id="rId6"/>
    <Relationship TargetMode="External" Target="https://www.legis.iowa.gov/docs/iac/rule/441.95.3.pdf" Type="http://schemas.openxmlformats.org/officeDocument/2006/relationships/hyperlink" Id="rId7"/>
    <Relationship TargetMode="External" Target="https://www.legis.iowa.gov/docs/ico/chapter/8A.504.pdf" Type="http://schemas.openxmlformats.org/officeDocument/2006/relationships/hyperlink" Id="rId8"/>
    <Relationship TargetMode="External" Target="https://www.legis.iowa.gov/docs/ico/chapter/252B.3.pdf" Type="http://schemas.openxmlformats.org/officeDocument/2006/relationships/hyperlink" Id="rId9"/>
    <Relationship TargetMode="External" Target="https://www.legis.iowa.gov/docs/ico/chapter/252B.4.pdf" Type="http://schemas.openxmlformats.org/officeDocument/2006/relationships/hyperlink" Id="rId10"/>
    <Relationship TargetMode="External" Target="https://www.legis.iowa.gov/docs/ico/chapter/252B.5.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