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441—98.81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“Delinquent support” </w:t>
      </w:r>
      <w:r>
        <w:rPr>
          <w:rFonts w:ascii="Times New Roman" w:hAnsi="Times New Roman"/>
          <w:b w:val="false"/>
          <w:i w:val="false"/>
          <w:color w:val="000000"/>
          <w:sz w:val="22"/>
        </w:rPr>
        <w:t xml:space="preserve">means a payment, or portion of a payment, including interest, not received by the clerk of the district court or other designated agency at the time it was due. In addition, delinquent support shall also include payments for parental liabilities not received as specified pursuant to </w:t>
      </w:r>
      <w:hyperlink r:id="rId4">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“Federal nontax payment” </w:t>
      </w:r>
      <w:r>
        <w:rPr>
          <w:rFonts w:ascii="Times New Roman" w:hAnsi="Times New Roman"/>
          <w:b w:val="false"/>
          <w:i w:val="false"/>
          <w:color w:val="000000"/>
          <w:sz w:val="22"/>
        </w:rPr>
        <w:t>means an amount payable by the federal government which is subject to administrative offset for support under the federal Debt Collection Improvement Act, Pub.</w:t>
      </w: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L. No.</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104-134.</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“Mistake of fact” </w:t>
      </w:r>
      <w:r>
        <w:rPr>
          <w:rFonts w:ascii="Times New Roman" w:hAnsi="Times New Roman"/>
          <w:b w:val="false"/>
          <w:i w:val="false"/>
          <w:color w:val="000000"/>
          <w:sz w:val="22"/>
        </w:rPr>
        <w:t>means a mistake in the identity of the obligor or whether the delinquency meets the criteria for referral.</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156.pdf" Type="http://schemas.openxmlformats.org/officeDocument/2006/relationships/hyperlink" Id="rId4"/>
    <Relationship TargetMode="External" Target="https://www.legis.iowa.gov/docs/ico/chapter/252B.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