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441—98.8</w:t>
      </w:r>
      <w:r>
        <w:rPr>
          <w:rFonts w:ascii="Times New Roman" w:hAnsi="Times New Roman"/>
          <w:b/>
          <w:i w:val="false"/>
          <w:color w:val="000000"/>
          <w:sz w:val="22"/>
        </w:rPr>
        <w:t xml:space="preserve">(252E) </w:t>
      </w:r>
      <w:r>
        <w:rPr>
          <w:rFonts w:ascii="Times New Roman" w:hAnsi="Times New Roman"/>
          <w:b/>
          <w:i w:val="false"/>
          <w:color w:val="000000"/>
          <w:sz w:val="22"/>
        </w:rPr>
        <w:t xml:space="preserve">Contesting the order. </w:t>
      </w:r>
      <w:r>
        <w:rPr>
          <w:rFonts w:ascii="Times New Roman" w:hAnsi="Times New Roman"/>
          <w:b w:val="false"/>
          <w:i w:val="false"/>
          <w:color w:val="000000"/>
          <w:sz w:val="22"/>
        </w:rPr>
        <w:t>The obligor may contest the enforcement of medical support by means of an informal conference with the child support recovery unit, or by filing a motion to quash.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98.8(1)</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w:t>
      </w:r>
      <w:r>
        <w:rPr>
          <w:rFonts w:ascii="Times New Roman" w:hAnsi="Times New Roman"/>
          <w:b w:val="false"/>
          <w:i w:val="false"/>
          <w:color w:val="000000"/>
          <w:sz w:val="22"/>
        </w:rPr>
        <w:t xml:space="preserve">Procedures for filing a motion to quash the order are specified under Iowa Code sections </w:t>
      </w:r>
      <w:hyperlink r:id="rId4">
        <w:r>
          <w:rPr>
            <w:rStyle w:val="Hyperlink"/>
            <w:rFonts w:ascii="Times New Roman" w:hAnsi="Times New Roman"/>
            <w:b w:val="false"/>
            <w:i w:val="false"/>
            <w:color w:val="000000"/>
            <w:sz w:val="22"/>
          </w:rPr>
          <w:t>252D.31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252E.6A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shall be entitled to only one informal conference for each new employer to which the unit has forwarded Form 470-3818 or an order under Iowa Code section </w:t>
      </w:r>
      <w:hyperlink r:id="rId6">
        <w:r>
          <w:rPr>
            <w:rStyle w:val="Hyperlink"/>
            <w:rFonts w:ascii="Times New Roman" w:hAnsi="Times New Roman"/>
            <w:b w:val="false"/>
            <w:i w:val="false"/>
            <w:color w:val="000000"/>
            <w:sz w:val="22"/>
          </w:rPr>
          <w:t>252E.4</w:t>
        </w:r>
      </w:hyperlink>
      <w:r>
        <w:rPr>
          <w:rFonts w:ascii="Times New Roman" w:hAnsi="Times New Roman"/>
          <w:b w:val="false"/>
          <w:i w:val="false"/>
          <w:color w:val="000000"/>
          <w:sz w:val="22"/>
        </w:rPr>
        <w:t xml:space="preserve"> to enforce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for the informal conference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inform the obligor in writing of the right to request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obligor may request an informal conference with the child support recovery unit if the obligor believes the enforcement was entered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obligor shall request an informal conference in writing, within 15 calendar days from the date of the notice of the right to an informal conference, or at any time if a mistake of fact regarding the identity of the obligor is believed to have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schedule an informal conference within 15 calendar days of the receipt of a written request from the obligor or the obligor’s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obligor fails to attend the conference, only one alternative time shall be scheduled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issue a written decision to the obligor within ten calendar days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issues to be reviewed at the conference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identity of the obligor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obligor is already providing health care coverage for the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availability of dependent health care coverage is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obligor was ordered to provide health care coverage under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in an informal conference shall in no way affect the right of the obligor to file a motion to quash the order under Iowa Code section </w:t>
      </w:r>
      <w:hyperlink r:id="rId7">
        <w:r>
          <w:rPr>
            <w:rStyle w:val="Hyperlink"/>
            <w:rFonts w:ascii="Times New Roman" w:hAnsi="Times New Roman"/>
            <w:b w:val="false"/>
            <w:i w:val="false"/>
            <w:color w:val="000000"/>
            <w:sz w:val="22"/>
          </w:rPr>
          <w:t>252E.6A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 xml:space="preserve">; </w:t>
      </w:r>
      <w:r>
        <w:rPr>
          <w:rFonts w:ascii="Times New Roman" w:hAnsi="Times New Roman"/>
          <w:b/>
          <w:i w:val="false"/>
          <w:color w:val="000000"/>
          <w:sz w:val="16"/>
        </w:rPr>
        <w:t>ARC 6855C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D.31.pdf" Type="http://schemas.openxmlformats.org/officeDocument/2006/relationships/hyperlink" Id="rId4"/>
    <Relationship TargetMode="External" Target="https://www.legis.iowa.gov/docs/ico/chapter/252E.6A.pdf" Type="http://schemas.openxmlformats.org/officeDocument/2006/relationships/hyperlink" Id="rId5"/>
    <Relationship TargetMode="External" Target="https://www.legis.iowa.gov/docs/ico/chapter/252E.4.pdf" Type="http://schemas.openxmlformats.org/officeDocument/2006/relationships/hyperlink" Id="rId6"/>
    <Relationship TargetMode="External" Target="https://www.legis.iowa.gov/docs/ico/chapter/252E.6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