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441—98.76</w:t>
      </w:r>
      <w:r>
        <w:rPr>
          <w:rFonts w:ascii="Times New Roman" w:hAnsi="Times New Roman"/>
          <w:b/>
          <w:i w:val="false"/>
          <w:color w:val="000000"/>
          <w:sz w:val="22"/>
        </w:rPr>
        <w:t xml:space="preserve">(252B) </w:t>
      </w:r>
      <w:r>
        <w:rPr>
          <w:rFonts w:ascii="Times New Roman" w:hAnsi="Times New Roman"/>
          <w:b/>
          <w:i w:val="false"/>
          <w:color w:val="000000"/>
          <w:sz w:val="22"/>
        </w:rPr>
        <w:t xml:space="preserve">Duration of order. </w:t>
      </w:r>
      <w:r>
        <w:rPr>
          <w:rFonts w:ascii="Times New Roman" w:hAnsi="Times New Roman"/>
          <w:b w:val="false"/>
          <w:i w:val="false"/>
          <w:color w:val="000000"/>
          <w:sz w:val="22"/>
        </w:rPr>
        <w:t xml:space="preserve">The seek employment order shall remain in effect for three months from the date of issuance unless CSRU determines the obligor has a valid reason for noncompliance as specified at rule </w:t>
      </w:r>
      <w:hyperlink r:id="rId4">
        <w:r>
          <w:rPr>
            <w:rStyle w:val="Hyperlink"/>
            <w:rFonts w:ascii="Times New Roman" w:hAnsi="Times New Roman"/>
            <w:b w:val="false"/>
            <w:i w:val="false"/>
            <w:color w:val="000000"/>
            <w:sz w:val="22"/>
          </w:rPr>
          <w:t>441—98.74</w:t>
        </w:r>
      </w:hyperlink>
      <w:r>
        <w:rPr>
          <w:rFonts w:ascii="Times New Roman" w:hAnsi="Times New Roman"/>
          <w:b w:val="false"/>
          <w:i w:val="false"/>
          <w:color w:val="000000"/>
          <w:sz w:val="22"/>
        </w:rPr>
        <w:t>(252B), at which time the order becomes unenforceable.</w:t>
      </w:r>
    </w:p>
    <w:p>
      <w:pPr>
        <w:spacing w:before="0" w:after="0"/>
        <w:ind w:left="120"/>
        <w:jc w:val="left"/>
      </w:pPr>
      <w:r>
        <w:rPr>
          <w:rFonts w:ascii="Times New Roman" w:hAnsi="Times New Roman"/>
          <w:b w:val="false"/>
          <w:i w:val="false"/>
          <w:color w:val="000000"/>
          <w:sz w:val="22"/>
        </w:rPr>
        <w:t>Upon acceptance of the reason for noncompliance, CSRU shall notify the obligor that the obligor is no longer required to comply with the seek employment order. Upon denial of the reason for noncompliance, CSRU shall notify the obligor that the obligor shall comply with the existing seek employment order. The notice shall be filed with the clerk of the district court. If the obligor disputes this decision, the obligor shall have recourse through the district court.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7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