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441—98.74</w:t>
      </w:r>
      <w:r>
        <w:rPr>
          <w:rFonts w:ascii="Times New Roman" w:hAnsi="Times New Roman"/>
          <w:b/>
          <w:i w:val="false"/>
          <w:color w:val="000000"/>
          <w:sz w:val="22"/>
        </w:rPr>
        <w:t xml:space="preserve">(252B) </w:t>
      </w:r>
      <w:r>
        <w:rPr>
          <w:rFonts w:ascii="Times New Roman" w:hAnsi="Times New Roman"/>
          <w:b/>
          <w:i w:val="false"/>
          <w:color w:val="000000"/>
          <w:sz w:val="22"/>
        </w:rPr>
        <w:t xml:space="preserve">Reasons for noncompliance. </w:t>
      </w:r>
      <w:r>
        <w:rPr>
          <w:rFonts w:ascii="Times New Roman" w:hAnsi="Times New Roman"/>
          <w:b w:val="false"/>
          <w:i w:val="false"/>
          <w:color w:val="000000"/>
          <w:sz w:val="22"/>
        </w:rPr>
        <w:t>Upon verification, certain conditions shall be considered valid reasons for noncompliance. At the request of the child support recovery unit (CSRU), the obligor shall provide verification of any reason for noncompliance with the order when the information is not available to CSRU through online sources. Valid reasons for noncompliance and acceptable verification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the family investment program (FIP). </w:t>
      </w:r>
      <w:r>
        <w:rPr>
          <w:rFonts w:ascii="Times New Roman" w:hAnsi="Times New Roman"/>
          <w:b w:val="false"/>
          <w:i w:val="false"/>
          <w:color w:val="000000"/>
          <w:sz w:val="22"/>
        </w:rPr>
        <w:t>Receipt of social security, SSI, or FIP is considered a valid reason for noncompliance when verified by information contained in online sources available to CSRU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obligor or other household member is considered a valid reason upon receipt of completed Form 470-3158 verifying the obligor’s inability to seek or accept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98.74(3)</w:t>
      </w:r>
      <w:r>
        <w:rPr>
          <w:rFonts w:ascii="Times New Roman" w:hAnsi="Times New Roman"/>
          <w:b w:val="false"/>
          <w:i w:val="false"/>
          <w:color w:val="000000"/>
          <w:sz w:val="22"/>
        </w:rPr>
        <w:t> </w:t>
      </w:r>
      <w:r>
        <w:rPr>
          <w:rFonts w:ascii="Times New Roman" w:hAnsi="Times New Roman"/>
          <w:b w:val="false"/>
          <w:i/>
          <w:color w:val="000000"/>
          <w:sz w:val="22"/>
        </w:rPr>
        <w:t xml:space="preserve">High school student. </w:t>
      </w:r>
      <w:r>
        <w:rPr>
          <w:rFonts w:ascii="Times New Roman" w:hAnsi="Times New Roman"/>
          <w:b w:val="false"/>
          <w:i w:val="false"/>
          <w:color w:val="000000"/>
          <w:sz w:val="22"/>
        </w:rPr>
        <w:t>Attending high school is considered a valid reason upon verification from the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98.74(4)</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when verified through online information available to CSRU or 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98.74(5)</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w:t>
      </w:r>
      <w:r>
        <w:rPr>
          <w:rFonts w:ascii="Times New Roman" w:hAnsi="Times New Roman"/>
          <w:b w:val="false"/>
          <w:i w:val="false"/>
          <w:color w:val="000000"/>
          <w:sz w:val="22"/>
        </w:rPr>
        <w:t>Participating in a supervised substance abuse treatment program that is associated with a treatment center is considered a valid reason upon verification from the treatment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98.74(6)</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 training or job seeking program through the department of employment services as a result of receiving benefits from the Supplemental Nutrition Assistance Program (SNAP) is considered a valid reason upon receipt of verification from the department of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98.74(7)</w:t>
      </w:r>
      <w:r>
        <w:rPr>
          <w:rFonts w:ascii="Times New Roman" w:hAnsi="Times New Roman"/>
          <w:b w:val="false"/>
          <w:i w:val="false"/>
          <w:color w:val="000000"/>
          <w:sz w:val="22"/>
        </w:rPr>
        <w:t> </w:t>
      </w:r>
      <w:r>
        <w:rPr>
          <w:rFonts w:ascii="Times New Roman" w:hAnsi="Times New Roman"/>
          <w:b w:val="false"/>
          <w:i/>
          <w:color w:val="000000"/>
          <w:sz w:val="22"/>
        </w:rPr>
        <w:t xml:space="preserve">Employment or self-employment. </w:t>
      </w:r>
      <w:r>
        <w:rPr>
          <w:rFonts w:ascii="Times New Roman" w:hAnsi="Times New Roman"/>
          <w:b w:val="false"/>
          <w:i w:val="false"/>
          <w:color w:val="000000"/>
          <w:sz w:val="22"/>
        </w:rPr>
        <w:t>Employment or self-employment is considered a valid reason upon verification through the employer for those employed or through tax documents or business records for those self-employed.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98.74(8)</w:t>
      </w:r>
      <w:r>
        <w:rPr>
          <w:rFonts w:ascii="Times New Roman" w:hAnsi="Times New Roman"/>
          <w:b w:val="false"/>
          <w:i w:val="false"/>
          <w:color w:val="000000"/>
          <w:sz w:val="22"/>
        </w:rPr>
        <w:t> </w:t>
      </w:r>
      <w:r>
        <w:rPr>
          <w:rFonts w:ascii="Times New Roman" w:hAnsi="Times New Roman"/>
          <w:b w:val="false"/>
          <w:i/>
          <w:color w:val="000000"/>
          <w:sz w:val="22"/>
        </w:rPr>
        <w:t xml:space="preserve">Payment of support. </w:t>
      </w:r>
      <w:r>
        <w:rPr>
          <w:rFonts w:ascii="Times New Roman" w:hAnsi="Times New Roman"/>
          <w:b w:val="false"/>
          <w:i w:val="false"/>
          <w:color w:val="000000"/>
          <w:sz w:val="22"/>
        </w:rPr>
        <w:t xml:space="preserve">Payment on the account equal to the amounts prescribed for income withholding in accordance with rule </w:t>
      </w:r>
      <w:hyperlink r:id="rId4">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throughout the duration of the seek employment order is considered a valid reason upon verification of payments posted to the Iowa collection and reporting (ICAR) system.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2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