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441—98.71</w:t>
      </w:r>
      <w:r>
        <w:rPr>
          <w:rFonts w:ascii="Times New Roman" w:hAnsi="Times New Roman"/>
          <w:b/>
          <w:i w:val="false"/>
          <w:color w:val="000000"/>
          <w:sz w:val="22"/>
        </w:rPr>
        <w:t xml:space="preserve">(252B) </w:t>
      </w:r>
      <w:r>
        <w:rPr>
          <w:rFonts w:ascii="Times New Roman" w:hAnsi="Times New Roman"/>
          <w:b/>
          <w:i w:val="false"/>
          <w:color w:val="000000"/>
          <w:sz w:val="22"/>
        </w:rPr>
        <w:t xml:space="preserve">Seek employment order. </w:t>
      </w:r>
      <w:r>
        <w:rPr>
          <w:rFonts w:ascii="Times New Roman" w:hAnsi="Times New Roman"/>
          <w:b w:val="false"/>
          <w:i w:val="false"/>
          <w:color w:val="000000"/>
          <w:sz w:val="22"/>
        </w:rPr>
        <w:t>The child support recovery unit (CSRU) may enter an ex parte order requiring the obligor to seek employment if employment of the obligor cannot be verified and if the obligor has failed to make support payments. Any obligor who has failed to make support payments and for whom employment cannot be verified is subject to issuance of an administrative order to seek employment.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