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441—98.61</w:t>
      </w:r>
      <w:r>
        <w:rPr>
          <w:rFonts w:ascii="Times New Roman" w:hAnsi="Times New Roman"/>
          <w:b/>
          <w:i w:val="false"/>
          <w:color w:val="000000"/>
          <w:sz w:val="22"/>
        </w:rPr>
        <w:t xml:space="preserve">(252B) </w:t>
      </w:r>
      <w:r>
        <w:rPr>
          <w:rFonts w:ascii="Times New Roman" w:hAnsi="Times New Roman"/>
          <w:b/>
          <w:i w:val="false"/>
          <w:color w:val="000000"/>
          <w:sz w:val="22"/>
        </w:rPr>
        <w:t xml:space="preserve">List for publication. </w:t>
      </w:r>
      <w:r>
        <w:rPr>
          <w:rFonts w:ascii="Times New Roman" w:hAnsi="Times New Roman"/>
          <w:b w:val="false"/>
          <w:i w:val="false"/>
          <w:color w:val="000000"/>
          <w:sz w:val="22"/>
        </w:rPr>
        <w:t>The department may compile and make available for publication a list of cases in which no payment has been credited to an accrued or accruing support obligation during a previous three-month period,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98.61(1)</w:t>
      </w:r>
      <w:r>
        <w:rPr>
          <w:rFonts w:ascii="Times New Roman" w:hAnsi="Times New Roman"/>
          <w:b w:val="false"/>
          <w:i w:val="false"/>
          <w:color w:val="000000"/>
          <w:sz w:val="22"/>
        </w:rPr>
        <w:t> </w:t>
      </w:r>
      <w:r>
        <w:rPr>
          <w:rFonts w:ascii="Times New Roman" w:hAnsi="Times New Roman"/>
          <w:b w:val="false"/>
          <w:i/>
          <w:color w:val="000000"/>
          <w:sz w:val="22"/>
        </w:rPr>
        <w:t xml:space="preserve">Support order entered in Iowa. </w:t>
      </w:r>
      <w:r>
        <w:rPr>
          <w:rFonts w:ascii="Times New Roman" w:hAnsi="Times New Roman"/>
          <w:b w:val="false"/>
          <w:i w:val="false"/>
          <w:color w:val="000000"/>
          <w:sz w:val="22"/>
        </w:rPr>
        <w:t>The list shall include cases with a support order entered in Iowa which is being enforced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98.61(2)</w:t>
      </w:r>
      <w:r>
        <w:rPr>
          <w:rFonts w:ascii="Times New Roman" w:hAnsi="Times New Roman"/>
          <w:b w:val="false"/>
          <w:i w:val="false"/>
          <w:color w:val="000000"/>
          <w:sz w:val="22"/>
        </w:rPr>
        <w:t> </w:t>
      </w:r>
      <w:r>
        <w:rPr>
          <w:rFonts w:ascii="Times New Roman" w:hAnsi="Times New Roman"/>
          <w:b w:val="false"/>
          <w:i/>
          <w:color w:val="000000"/>
          <w:sz w:val="22"/>
        </w:rPr>
        <w:t xml:space="preserve">Support order entered in another state. </w:t>
      </w:r>
      <w:r>
        <w:rPr>
          <w:rFonts w:ascii="Times New Roman" w:hAnsi="Times New Roman"/>
          <w:b w:val="false"/>
          <w:i w:val="false"/>
          <w:color w:val="000000"/>
          <w:sz w:val="22"/>
        </w:rPr>
        <w:t>The list may include cases with a support order entered in another state, if another state has requested this service, has demonstrated that the provision of this service is not in conflict with the laws of the state where the support order is entered, and the order is being enforced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98.61(3)</w:t>
      </w:r>
      <w:r>
        <w:rPr>
          <w:rFonts w:ascii="Times New Roman" w:hAnsi="Times New Roman"/>
          <w:b w:val="false"/>
          <w:i w:val="false"/>
          <w:color w:val="000000"/>
          <w:sz w:val="22"/>
        </w:rPr>
        <w:t> </w:t>
      </w:r>
      <w:r>
        <w:rPr>
          <w:rFonts w:ascii="Times New Roman" w:hAnsi="Times New Roman"/>
          <w:b w:val="false"/>
          <w:i/>
          <w:color w:val="000000"/>
          <w:sz w:val="22"/>
        </w:rPr>
        <w:t xml:space="preserve">When compiled. </w:t>
      </w:r>
      <w:r>
        <w:rPr>
          <w:rFonts w:ascii="Times New Roman" w:hAnsi="Times New Roman"/>
          <w:b w:val="false"/>
          <w:i w:val="false"/>
          <w:color w:val="000000"/>
          <w:sz w:val="22"/>
        </w:rPr>
        <w:t>The department shall determine when to compile the list, but shall not be required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98.61(4)</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Case selection shall be based on the records of the department at the time the list is compiled. The three-month period of nonpayment shall end no earlier than one month prior to the date the list is compiled. When an obligor has multiple orders on a case, all orders contained in the child support recovery unit record may be listed.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98.61(5)</w:t>
      </w: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The name of the obligor shall not be included when there has been a finding of good cause for noncooperation with the child support recovery unit in a public assistance case pursuant to </w:t>
      </w:r>
      <w:hyperlink r:id="rId4">
        <w:r>
          <w:rPr>
            <w:rStyle w:val="Hyperlink"/>
            <w:rFonts w:ascii="Times New Roman" w:hAnsi="Times New Roman"/>
            <w:b w:val="false"/>
            <w:i w:val="false"/>
            <w:color w:val="000000"/>
            <w:sz w:val="22"/>
          </w:rPr>
          <w:t>441—Chapter 41</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and a determination has been made that enforcement may not proceed without risk of harm to the child or caretaker.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41.pdf" Type="http://schemas.openxmlformats.org/officeDocument/2006/relationships/hyperlink" Id="rId4"/>
    <Relationship TargetMode="External" Target="https://www.legis.iowa.gov/docs/iac/chapter/441.7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