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441—98.6</w:t>
      </w:r>
      <w:r>
        <w:rPr>
          <w:rFonts w:ascii="Times New Roman" w:hAnsi="Times New Roman"/>
          <w:b/>
          <w:i w:val="false"/>
          <w:color w:val="000000"/>
          <w:sz w:val="22"/>
        </w:rPr>
        <w:t xml:space="preserve">(252E) </w:t>
      </w:r>
      <w:r>
        <w:rPr>
          <w:rFonts w:ascii="Times New Roman" w:hAnsi="Times New Roman"/>
          <w:b/>
          <w:i w:val="false"/>
          <w:color w:val="000000"/>
          <w:sz w:val="22"/>
        </w:rPr>
        <w:t xml:space="preserve">Insurer authorization. </w:t>
      </w:r>
      <w:r>
        <w:rPr>
          <w:rFonts w:ascii="Times New Roman" w:hAnsi="Times New Roman"/>
          <w:b w:val="false"/>
          <w:i w:val="false"/>
          <w:color w:val="000000"/>
          <w:sz w:val="22"/>
        </w:rPr>
        <w:t>When the obligor does not provide to the insurer the signed documents necessary to enroll and process claims for the dependent for whom support is ordered, the insurer is authorized to accept the signature of the obligee or the department’s designee on necessary forms. For purposes of Division I of this chapter, the third-party liability unit is the department’s designee when support is assigned.</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