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441—98.42</w:t>
      </w:r>
      <w:r>
        <w:rPr>
          <w:rFonts w:ascii="Times New Roman" w:hAnsi="Times New Roman"/>
          <w:b/>
          <w:i w:val="false"/>
          <w:color w:val="000000"/>
          <w:sz w:val="22"/>
        </w:rPr>
        <w:t xml:space="preserve">(252D) </w:t>
      </w:r>
      <w:r>
        <w:rPr>
          <w:rFonts w:ascii="Times New Roman" w:hAnsi="Times New Roman"/>
          <w:b/>
          <w:i w:val="false"/>
          <w:color w:val="000000"/>
          <w:sz w:val="22"/>
        </w:rPr>
        <w:t xml:space="preserve">Notice to employer and obligor. </w:t>
      </w:r>
      <w:r>
        <w:rPr>
          <w:rFonts w:ascii="Times New Roman" w:hAnsi="Times New Roman"/>
          <w:b w:val="false"/>
          <w:i w:val="false"/>
          <w:color w:val="000000"/>
          <w:sz w:val="22"/>
        </w:rPr>
        <w:t>The child support recovery unit shall send the obligor and the employer or other income provider a notice of income withholding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98.42(1)</w:t>
      </w:r>
      <w:r>
        <w:rPr>
          <w:rFonts w:ascii="Times New Roman" w:hAnsi="Times New Roman"/>
          <w:b w:val="false"/>
          <w:i w:val="false"/>
          <w:color w:val="000000"/>
          <w:sz w:val="22"/>
        </w:rPr>
        <w:t> </w:t>
      </w:r>
      <w:r>
        <w:rPr>
          <w:rFonts w:ascii="Times New Roman" w:hAnsi="Times New Roman"/>
          <w:b w:val="false"/>
          <w:i/>
          <w:color w:val="000000"/>
          <w:sz w:val="22"/>
        </w:rPr>
        <w:t xml:space="preserve">Notice to employer. </w:t>
      </w:r>
      <w:r>
        <w:rPr>
          <w:rFonts w:ascii="Times New Roman" w:hAnsi="Times New Roman"/>
          <w:b w:val="false"/>
          <w:i w:val="false"/>
          <w:color w:val="000000"/>
          <w:sz w:val="22"/>
        </w:rPr>
        <w:t xml:space="preserve">The unit may send notice to the employer or other income provider by regular mail or by electronic means in accordance with Iowa Code chapter </w:t>
      </w:r>
      <w:hyperlink r:id="rId4">
        <w:r>
          <w:rPr>
            <w:rStyle w:val="Hyperlink"/>
            <w:rFonts w:ascii="Times New Roman" w:hAnsi="Times New Roman"/>
            <w:b w:val="false"/>
            <w:i w:val="false"/>
            <w:color w:val="000000"/>
            <w:sz w:val="22"/>
          </w:rPr>
          <w:t>252D</w:t>
        </w:r>
      </w:hyperlink>
      <w:r>
        <w:rPr>
          <w:rFonts w:ascii="Times New Roman" w:hAnsi="Times New Roman"/>
          <w:b w:val="false"/>
          <w:i w:val="false"/>
          <w:color w:val="000000"/>
          <w:sz w:val="22"/>
        </w:rPr>
        <w:t xml:space="preserve">. If the unit is sending notice by regular mail, it shall send Form 470-3272 or a notice in the standard format prescribed by </w:t>
      </w:r>
      <w:r>
        <w:rPr>
          <w:rFonts w:ascii="Times New Roman" w:hAnsi="Times New Roman"/>
          <w:b w:val="false"/>
          <w:i w:val="false"/>
          <w:color w:val="000000"/>
          <w:sz w:val="22"/>
        </w:rPr>
        <w:t>42 U.S.C. §666(b)(6)(A)</w:t>
      </w:r>
      <w:r>
        <w:rPr>
          <w:rFonts w:ascii="Times New Roman" w:hAnsi="Times New Roman"/>
          <w:b w:val="false"/>
          <w:i w:val="false"/>
          <w:color w:val="000000"/>
          <w:sz w:val="22"/>
        </w:rPr>
        <w:t xml:space="preserve">. If the unit is sending the notice by electronic means, it may include notice of more than one obligor’s order and need only state once provisions which are applicable to all obligors, such as the information in paragraphs </w:t>
      </w:r>
      <w:hyperlink r:id="rId5">
        <w:r>
          <w:rPr>
            <w:rStyle w:val="Hyperlink"/>
            <w:rFonts w:ascii="Times New Roman" w:hAnsi="Times New Roman"/>
            <w:b w:val="false"/>
            <w:i w:val="false"/>
            <w:color w:val="000000"/>
            <w:sz w:val="22"/>
          </w:rPr>
          <w:t>98.42(1)</w:t>
        </w:r>
      </w:hyperlink>
      <w:r>
        <w:rPr>
          <w:rFonts w:ascii="Times New Roman" w:hAnsi="Times New Roman"/>
          <w:b w:val="false"/>
          <w:i/>
          <w:color w:val="000000"/>
          <w:sz w:val="22"/>
        </w:rPr>
        <w:t>“d,” “f,” “g,”</w:t>
      </w:r>
      <w:r>
        <w:rPr>
          <w:rFonts w:ascii="Times New Roman" w:hAnsi="Times New Roman"/>
          <w:b w:val="false"/>
          <w:i w:val="false"/>
          <w:color w:val="000000"/>
          <w:sz w:val="22"/>
        </w:rPr>
        <w:t xml:space="preserve"> and </w:t>
      </w:r>
      <w:r>
        <w:rPr>
          <w:rFonts w:ascii="Times New Roman" w:hAnsi="Times New Roman"/>
          <w:b w:val="false"/>
          <w:i/>
          <w:color w:val="000000"/>
          <w:sz w:val="22"/>
        </w:rPr>
        <w:t>“i.”</w:t>
      </w:r>
      <w:r>
        <w:rPr>
          <w:rFonts w:ascii="Times New Roman" w:hAnsi="Times New Roman"/>
          <w:b w:val="false"/>
          <w:i w:val="false"/>
          <w:color w:val="000000"/>
          <w:sz w:val="22"/>
        </w:rPr>
        <w:t xml:space="preserve"> The statement of provisions applicable to all obligors may be sent by regular mail or electronic means. The notice of income withholding shall contain information such as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obligor’s name and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amount of current support to withhold.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amount of support to withhold for payment of delinquent support,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amount an income provider may deduct for costs of processing each support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child support case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location to which payments are 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maximum amount that can be withheld for payment of support as specified in rule </w:t>
      </w:r>
      <w:hyperlink r:id="rId6">
        <w:r>
          <w:rPr>
            <w:rStyle w:val="Hyperlink"/>
            <w:rFonts w:ascii="Times New Roman" w:hAnsi="Times New Roman"/>
            <w:b w:val="false"/>
            <w:i w:val="false"/>
            <w:color w:val="000000"/>
            <w:sz w:val="22"/>
          </w:rPr>
          <w:t>441—98.40</w:t>
        </w:r>
      </w:hyperlink>
      <w:r>
        <w:rPr>
          <w:rFonts w:ascii="Times New Roman" w:hAnsi="Times New Roman"/>
          <w:b w:val="false"/>
          <w:i w:val="false"/>
          <w:color w:val="000000"/>
          <w:sz w:val="22"/>
        </w:rPr>
        <w:t>(252D,252E).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method to calculate net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Responsibilities of the income provider as specified in Iowa Code section </w:t>
      </w:r>
      <w:hyperlink r:id="rId7">
        <w:r>
          <w:rPr>
            <w:rStyle w:val="Hyperlink"/>
            <w:rFonts w:ascii="Times New Roman" w:hAnsi="Times New Roman"/>
            <w:b w:val="false"/>
            <w:i w:val="false"/>
            <w:color w:val="000000"/>
            <w:sz w:val="22"/>
          </w:rPr>
          <w:t>252D.17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Responsibility, if any, of the income provider to enroll the obligor’s dependent for coverage under a health benefit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98.42(2)</w:t>
      </w:r>
      <w:r>
        <w:rPr>
          <w:rFonts w:ascii="Times New Roman" w:hAnsi="Times New Roman"/>
          <w:b w:val="false"/>
          <w:i w:val="false"/>
          <w:color w:val="000000"/>
          <w:sz w:val="22"/>
        </w:rPr>
        <w:t> </w:t>
      </w:r>
      <w:r>
        <w:rPr>
          <w:rFonts w:ascii="Times New Roman" w:hAnsi="Times New Roman"/>
          <w:b w:val="false"/>
          <w:i/>
          <w:color w:val="000000"/>
          <w:sz w:val="22"/>
        </w:rPr>
        <w:t xml:space="preserve">Notice to obligor. </w:t>
      </w:r>
      <w:r>
        <w:rPr>
          <w:rFonts w:ascii="Times New Roman" w:hAnsi="Times New Roman"/>
          <w:b w:val="false"/>
          <w:i w:val="false"/>
          <w:color w:val="000000"/>
          <w:sz w:val="22"/>
        </w:rPr>
        <w:t>Form 470-2624 shall be sent to the last-known address of the obligor by regular mail. The notice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obligor’s right to an informal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process to request an informal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obligor’s right to claim hardship criteria and the process for a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obligor’s right to file a motion to quash the income withholding order or notice with the district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information provided to the employer or other income provider, or a copy of the notice sent to the employer or other income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amount of any delinquency.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98.42(3)</w:t>
      </w:r>
      <w:r>
        <w:rPr>
          <w:rFonts w:ascii="Times New Roman" w:hAnsi="Times New Roman"/>
          <w:b w:val="false"/>
          <w:i w:val="false"/>
          <w:color w:val="000000"/>
          <w:sz w:val="22"/>
        </w:rPr>
        <w:t> </w:t>
      </w:r>
      <w:r>
        <w:rPr>
          <w:rFonts w:ascii="Times New Roman" w:hAnsi="Times New Roman"/>
          <w:b w:val="false"/>
          <w:i/>
          <w:color w:val="000000"/>
          <w:sz w:val="22"/>
        </w:rPr>
        <w:t xml:space="preserve">Standard format. </w:t>
      </w:r>
      <w:r>
        <w:rPr>
          <w:rFonts w:ascii="Times New Roman" w:hAnsi="Times New Roman"/>
          <w:b w:val="false"/>
          <w:i w:val="false"/>
          <w:color w:val="000000"/>
          <w:sz w:val="22"/>
        </w:rPr>
        <w:t xml:space="preserve">As provided in Iowa Code section </w:t>
      </w:r>
      <w:hyperlink r:id="rId8">
        <w:r>
          <w:rPr>
            <w:rStyle w:val="Hyperlink"/>
            <w:rFonts w:ascii="Times New Roman" w:hAnsi="Times New Roman"/>
            <w:b w:val="false"/>
            <w:i w:val="false"/>
            <w:color w:val="000000"/>
            <w:sz w:val="22"/>
          </w:rPr>
          <w:t>252D.17</w:t>
        </w:r>
      </w:hyperlink>
      <w:r>
        <w:rPr>
          <w:rFonts w:ascii="Times New Roman" w:hAnsi="Times New Roman"/>
          <w:b w:val="false"/>
          <w:i w:val="false"/>
          <w:color w:val="000000"/>
          <w:sz w:val="22"/>
        </w:rPr>
        <w:t>, an order or notice of an order for income withholding shall be in a standard format prescribed by the child support recovery unit. Form 470-3272 is the standard format prescribed by the child support recovery unit, and the unit shall make a copy of the form available to the state court administrator and the Iowa state bar association.</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4112C</w:t>
      </w:r>
      <w:r>
        <w:rPr>
          <w:rFonts w:ascii="Times New Roman" w:hAnsi="Times New Roman"/>
          <w:b w:val="false"/>
          <w:i w:val="false"/>
          <w:color w:val="000000"/>
          <w:sz w:val="16"/>
        </w:rPr>
        <w:t>, IAB 11/7/18, effective 2/15/19</w:t>
      </w:r>
      <w:r>
        <w:rPr>
          <w:rFonts w:ascii="Times New Roman" w:hAnsi="Times New Roman"/>
          <w:b w:val="false"/>
          <w:i w:val="false"/>
          <w:color w:val="000000"/>
          <w:sz w:val="16"/>
        </w:rPr>
        <w:t xml:space="preserve">; </w:t>
      </w:r>
      <w:r>
        <w:rPr>
          <w:rFonts w:ascii="Times New Roman" w:hAnsi="Times New Roman"/>
          <w:b/>
          <w:i w:val="false"/>
          <w:color w:val="000000"/>
          <w:sz w:val="16"/>
        </w:rPr>
        <w:t>ARC 6855C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52D.pdf" Type="http://schemas.openxmlformats.org/officeDocument/2006/relationships/hyperlink" Id="rId4"/>
    <Relationship TargetMode="External" Target="https://www.legis.iowa.gov/docs/iac/rule/441.98.42.pdf" Type="http://schemas.openxmlformats.org/officeDocument/2006/relationships/hyperlink" Id="rId5"/>
    <Relationship TargetMode="External" Target="https://www.legis.iowa.gov/docs/iac/rule/441.98.40.pdf" Type="http://schemas.openxmlformats.org/officeDocument/2006/relationships/hyperlink" Id="rId6"/>
    <Relationship TargetMode="External" Target="https://www.legis.iowa.gov/docs/ico/chapter/252D.17.pdf" Type="http://schemas.openxmlformats.org/officeDocument/2006/relationships/hyperlink" Id="rId7"/>
    <Relationship TargetMode="External" Target="https://www.legis.iowa.gov/docs/ico/chapter/252D.17.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