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441—98.41</w:t>
      </w:r>
      <w:r>
        <w:rPr>
          <w:rFonts w:ascii="Times New Roman" w:hAnsi="Times New Roman"/>
          <w:b/>
          <w:i w:val="false"/>
          <w:color w:val="000000"/>
          <w:sz w:val="22"/>
        </w:rPr>
        <w:t xml:space="preserve">(252D) </w:t>
      </w:r>
      <w:r>
        <w:rPr>
          <w:rFonts w:ascii="Times New Roman" w:hAnsi="Times New Roman"/>
          <w:b/>
          <w:i w:val="false"/>
          <w:color w:val="000000"/>
          <w:sz w:val="22"/>
        </w:rPr>
        <w:t xml:space="preserve">Multiple obligations. </w:t>
      </w:r>
      <w:r>
        <w:rPr>
          <w:rFonts w:ascii="Times New Roman" w:hAnsi="Times New Roman"/>
          <w:b w:val="false"/>
          <w:i w:val="false"/>
          <w:color w:val="000000"/>
          <w:sz w:val="22"/>
        </w:rPr>
        <w:t xml:space="preserve">In the event that an obligor has more than one support obligation that is being enforced by the child support recovery unit, the unit may enter an income withholding order to enforce each obligation. The amount specified to be withheld on the delinquency under the income withholding order or notice shall be determined in accordance with rule </w:t>
      </w:r>
      <w:hyperlink r:id="rId4">
        <w:r>
          <w:rPr>
            <w:rStyle w:val="Hyperlink"/>
            <w:rFonts w:ascii="Times New Roman" w:hAnsi="Times New Roman"/>
            <w:b w:val="false"/>
            <w:i w:val="false"/>
            <w:color w:val="000000"/>
            <w:sz w:val="22"/>
          </w:rPr>
          <w:t>441—98.24</w:t>
        </w:r>
      </w:hyperlink>
      <w:r>
        <w:rPr>
          <w:rFonts w:ascii="Times New Roman" w:hAnsi="Times New Roman"/>
          <w:b w:val="false"/>
          <w:i w:val="false"/>
          <w:color w:val="000000"/>
          <w:sz w:val="22"/>
        </w:rPr>
        <w:t>(252D).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8.2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