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441—98.39</w:t>
      </w:r>
      <w:r>
        <w:rPr>
          <w:rFonts w:ascii="Times New Roman" w:hAnsi="Times New Roman"/>
          <w:b/>
          <w:i w:val="false"/>
          <w:color w:val="000000"/>
          <w:sz w:val="22"/>
        </w:rPr>
        <w:t xml:space="preserve">(252D,252E) </w:t>
      </w:r>
      <w:r>
        <w:rPr>
          <w:rFonts w:ascii="Times New Roman" w:hAnsi="Times New Roman"/>
          <w:b/>
          <w:i w:val="false"/>
          <w:color w:val="000000"/>
          <w:sz w:val="22"/>
        </w:rPr>
        <w:t xml:space="preserve">Provisions for medical support. </w:t>
      </w:r>
      <w:r>
        <w:rPr>
          <w:rFonts w:ascii="Times New Roman" w:hAnsi="Times New Roman"/>
          <w:b w:val="false"/>
          <w:i w:val="false"/>
          <w:color w:val="000000"/>
          <w:sz w:val="22"/>
        </w:rPr>
        <w:t xml:space="preserve">An income withholding order or notice of income withholding may also include provisions for enforcement of medical support when medical support is included in the support order. The income withholding order or notice of income withholding may require implementation of dependent health care coverage pursuant to Iowa Code chapter </w:t>
      </w:r>
      <w:hyperlink r:id="rId4">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or the withholding of a dollar amount for medical support. Amounts withheld for medical support shall be determined in the same manner as amounts withheld for child support.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4112C</w:t>
      </w:r>
      <w:r>
        <w:rPr>
          <w:rFonts w:ascii="Times New Roman" w:hAnsi="Times New Roman"/>
          <w:b w:val="false"/>
          <w:i w:val="false"/>
          <w:color w:val="000000"/>
          <w:sz w:val="16"/>
        </w:rPr>
        <w:t>, IAB 11/7/18, effective 2/15/19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E.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