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441—98.36</w:t>
      </w:r>
      <w:r>
        <w:rPr>
          <w:rFonts w:ascii="Times New Roman" w:hAnsi="Times New Roman"/>
          <w:b/>
          <w:i w:val="false"/>
          <w:color w:val="000000"/>
          <w:sz w:val="22"/>
        </w:rPr>
        <w:t xml:space="preserve">(252D) </w:t>
      </w:r>
      <w:r>
        <w:rPr>
          <w:rFonts w:ascii="Times New Roman" w:hAnsi="Times New Roman"/>
          <w:b/>
          <w:i w:val="false"/>
          <w:color w:val="000000"/>
          <w:sz w:val="22"/>
        </w:rPr>
        <w:t xml:space="preserve">Immediate income withholding amounts. </w:t>
      </w:r>
      <w:r>
        <w:rPr>
          <w:rFonts w:ascii="Times New Roman" w:hAnsi="Times New Roman"/>
          <w:b w:val="false"/>
          <w:i w:val="false"/>
          <w:color w:val="000000"/>
          <w:sz w:val="22"/>
        </w:rPr>
        <w:t>The amount withheld shall be the amount of the current support obligation as specified in the support order. If a judgment for accrued support is established in the support order, the amount withheld shall be the amount due for current support and the periodic payment amount due for the accrued support as specified in the order. If no periodic payment for the accrued support is established in the support order, the amount withheld shall be the amount due for current support plus 10 percent of the amount of the current obligation to be applied to the accrued support.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