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441—98.32</w:t>
      </w:r>
      <w:r>
        <w:rPr>
          <w:rFonts w:ascii="Times New Roman" w:hAnsi="Times New Roman"/>
          <w:b/>
          <w:i w:val="false"/>
          <w:color w:val="000000"/>
          <w:sz w:val="22"/>
        </w:rPr>
        <w:t xml:space="preserve">(252D) </w:t>
      </w:r>
      <w:r>
        <w:rPr>
          <w:rFonts w:ascii="Times New Roman" w:hAnsi="Times New Roman"/>
          <w:b/>
          <w:i w:val="false"/>
          <w:color w:val="000000"/>
          <w:sz w:val="22"/>
        </w:rPr>
        <w:t xml:space="preserve">Withholding automatic. </w:t>
      </w:r>
      <w:r>
        <w:rPr>
          <w:rFonts w:ascii="Times New Roman" w:hAnsi="Times New Roman"/>
          <w:b w:val="false"/>
          <w:i w:val="false"/>
          <w:color w:val="000000"/>
          <w:sz w:val="22"/>
        </w:rPr>
        <w:t>Immediate withholding of income is automatic without additional notice to the obligor unless: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98.32(1)</w:t>
      </w:r>
      <w:r>
        <w:rPr>
          <w:rFonts w:ascii="Times New Roman" w:hAnsi="Times New Roman"/>
          <w:b w:val="false"/>
          <w:i w:val="false"/>
          <w:color w:val="000000"/>
          <w:sz w:val="22"/>
        </w:rPr>
        <w:t> </w:t>
      </w:r>
      <w:r>
        <w:rPr>
          <w:rFonts w:ascii="Times New Roman" w:hAnsi="Times New Roman"/>
          <w:b w:val="false"/>
          <w:i/>
          <w:color w:val="000000"/>
          <w:sz w:val="22"/>
        </w:rPr>
        <w:t xml:space="preserve">Good cause exists. </w:t>
      </w:r>
      <w:r>
        <w:rPr>
          <w:rFonts w:ascii="Times New Roman" w:hAnsi="Times New Roman"/>
          <w:b w:val="false"/>
          <w:i w:val="false"/>
          <w:color w:val="000000"/>
          <w:sz w:val="22"/>
        </w:rPr>
        <w:t>Good cause is found to exist by the court or the child support recovery unit. For purposes of this rule, “good cause” is defined as the posting of a secured bond by the obligor sufficient to pay all current and future child support obligations, including any delinquency which may accrue.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98.32(2)</w:t>
      </w:r>
      <w:r>
        <w:rPr>
          <w:rFonts w:ascii="Times New Roman" w:hAnsi="Times New Roman"/>
          <w:b w:val="false"/>
          <w:i w:val="false"/>
          <w:color w:val="000000"/>
          <w:sz w:val="22"/>
        </w:rPr>
        <w:t> </w:t>
      </w:r>
      <w:r>
        <w:rPr>
          <w:rFonts w:ascii="Times New Roman" w:hAnsi="Times New Roman"/>
          <w:b w:val="false"/>
          <w:i/>
          <w:color w:val="000000"/>
          <w:sz w:val="22"/>
        </w:rPr>
        <w:t xml:space="preserve">Written agreement exists. </w:t>
      </w:r>
      <w:r>
        <w:rPr>
          <w:rFonts w:ascii="Times New Roman" w:hAnsi="Times New Roman"/>
          <w:b w:val="false"/>
          <w:i w:val="false"/>
          <w:color w:val="000000"/>
          <w:sz w:val="22"/>
        </w:rPr>
        <w:t>A written agreement is reached between both parties which provides for an alternative arrangement for payment of child support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approved by the child support recovery unit, written agreements between the obligee and obligor to waive immediate income withholding become void when child support is assigned to this state or to another state pursuant to a statute of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payments pursuant to any written agreement shall be paid as directed in Iowa Code sections </w:t>
      </w:r>
      <w:hyperlink r:id="rId4">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598.22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14.pdf" Type="http://schemas.openxmlformats.org/officeDocument/2006/relationships/hyperlink" Id="rId4"/>
    <Relationship TargetMode="External" Target="https://www.legis.iowa.gov/docs/ico/chapter/598.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