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Effective date.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cases for which the child support recovery unit is providing enforcement services, the income of the obligor is subject to immediate withholding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without regard to the existence of a delinquency in the payment of support.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D.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