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441—98.26</w:t>
      </w:r>
      <w:r>
        <w:rPr>
          <w:rFonts w:ascii="Times New Roman" w:hAnsi="Times New Roman"/>
          <w:b/>
          <w:i w:val="false"/>
          <w:color w:val="000000"/>
          <w:sz w:val="22"/>
        </w:rPr>
        <w:t xml:space="preserve">(252D) </w:t>
      </w:r>
      <w:r>
        <w:rPr>
          <w:rFonts w:ascii="Times New Roman" w:hAnsi="Times New Roman"/>
          <w:b/>
          <w:i w:val="false"/>
          <w:color w:val="000000"/>
          <w:sz w:val="22"/>
        </w:rPr>
        <w:t xml:space="preserve">Additional information about hardship. </w:t>
      </w:r>
      <w:r>
        <w:rPr>
          <w:rFonts w:ascii="Times New Roman" w:hAnsi="Times New Roman"/>
          <w:b w:val="false"/>
          <w:i w:val="false"/>
          <w:color w:val="000000"/>
          <w:sz w:val="22"/>
        </w:rPr>
        <w:t xml:space="preserve">The child support recovery unit shall make reasonable efforts within 13 months after January 1, 2019, to identify and incrementally notify obligors who may be impacted by the changes to hardship procedures in rule </w:t>
      </w:r>
      <w:hyperlink r:id="rId4">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