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441—98.25</w:t>
      </w:r>
      <w:r>
        <w:rPr>
          <w:rFonts w:ascii="Times New Roman" w:hAnsi="Times New Roman"/>
          <w:b/>
          <w:i w:val="false"/>
          <w:color w:val="000000"/>
          <w:sz w:val="22"/>
        </w:rPr>
        <w:t xml:space="preserve">(252D) </w:t>
      </w:r>
      <w:r>
        <w:rPr>
          <w:rFonts w:ascii="Times New Roman" w:hAnsi="Times New Roman"/>
          <w:b/>
          <w:i w:val="false"/>
          <w:color w:val="000000"/>
          <w:sz w:val="22"/>
        </w:rPr>
        <w:t xml:space="preserve">Amendment of amount of withholding due to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98.25(1)</w:t>
      </w:r>
      <w:r>
        <w:rPr>
          <w:rFonts w:ascii="Times New Roman" w:hAnsi="Times New Roman"/>
          <w:b w:val="false"/>
          <w:i w:val="false"/>
          <w:color w:val="000000"/>
          <w:sz w:val="22"/>
        </w:rPr>
        <w:t> </w:t>
      </w:r>
      <w:r>
        <w:rPr>
          <w:rFonts w:ascii="Times New Roman" w:hAnsi="Times New Roman"/>
          <w:b w:val="false"/>
          <w:i/>
          <w:color w:val="000000"/>
          <w:sz w:val="22"/>
        </w:rPr>
        <w:t xml:space="preserve">Request for amendment. </w:t>
      </w:r>
      <w:r>
        <w:rPr>
          <w:rFonts w:ascii="Times New Roman" w:hAnsi="Times New Roman"/>
          <w:b w:val="false"/>
          <w:i w:val="false"/>
          <w:color w:val="000000"/>
          <w:sz w:val="22"/>
        </w:rPr>
        <w:t xml:space="preserve">If subrule </w:t>
      </w:r>
      <w:hyperlink r:id="rId4">
        <w:r>
          <w:rPr>
            <w:rStyle w:val="Hyperlink"/>
            <w:rFonts w:ascii="Times New Roman" w:hAnsi="Times New Roman"/>
            <w:b w:val="false"/>
            <w:i w:val="false"/>
            <w:color w:val="000000"/>
            <w:sz w:val="22"/>
          </w:rPr>
          <w:t>98.24(2)</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98.24(3)</w:t>
        </w:r>
      </w:hyperlink>
      <w:r>
        <w:rPr>
          <w:rFonts w:ascii="Times New Roman" w:hAnsi="Times New Roman"/>
          <w:b w:val="false"/>
          <w:i w:val="false"/>
          <w:color w:val="000000"/>
          <w:sz w:val="22"/>
        </w:rPr>
        <w:t xml:space="preserve"> applies, the obligor may request at any time an amendment of the amount withheld as payment toward the delinquency or reimbursement on the grounds of hardship. The obligor must submit the request in writing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98.25(2)</w:t>
      </w:r>
      <w:r>
        <w:rPr>
          <w:rFonts w:ascii="Times New Roman" w:hAnsi="Times New Roman"/>
          <w:b w:val="false"/>
          <w:i w:val="false"/>
          <w:color w:val="000000"/>
          <w:sz w:val="22"/>
        </w:rPr>
        <w:t> </w:t>
      </w:r>
      <w:r>
        <w:rPr>
          <w:rFonts w:ascii="Times New Roman" w:hAnsi="Times New Roman"/>
          <w:b w:val="false"/>
          <w:i/>
          <w:color w:val="000000"/>
          <w:sz w:val="22"/>
        </w:rPr>
        <w:t xml:space="preserve">Hardship criterion. </w:t>
      </w:r>
      <w:r>
        <w:rPr>
          <w:rFonts w:ascii="Times New Roman" w:hAnsi="Times New Roman"/>
          <w:b w:val="false"/>
          <w:i w:val="false"/>
          <w:color w:val="000000"/>
          <w:sz w:val="22"/>
        </w:rPr>
        <w:t>Hardship exists if the obligor’s income is equal to or less than 200 percent of the poverty level for one person according to the poverty guidelines updated periodically in the Federal Register by the U.S. Department of Health and Human Services under the authority of 42 U.S.C. 9902(2).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hardship is claimed by the obligor, the child support recovery unit may verify income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or other income provider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employment security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records available in accordance with Iowa Code section </w:t>
      </w:r>
      <w:hyperlink r:id="rId6">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hardship criterion is met, the amount withheld as payment toward the delinquency may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obligor’s gross yearly income shall be divided by 200 percent of the established yearly gross poverty level income for one person. That amount shall be multiplied by .5. The resulting figure shall be multiplied by the most recent prior current support obligation or the amount determined pursuant to subrule </w:t>
      </w:r>
      <w:hyperlink r:id="rId7">
        <w:r>
          <w:rPr>
            <w:rStyle w:val="Hyperlink"/>
            <w:rFonts w:ascii="Times New Roman" w:hAnsi="Times New Roman"/>
            <w:b w:val="false"/>
            <w:i w:val="false"/>
            <w:color w:val="000000"/>
            <w:sz w:val="22"/>
          </w:rPr>
          <w:t>98.24(3)</w:t>
        </w:r>
      </w:hyperlink>
      <w:r>
        <w:rPr>
          <w:rFonts w:ascii="Times New Roman" w:hAnsi="Times New Roman"/>
          <w:b w:val="false"/>
          <w:i w:val="false"/>
          <w:color w:val="000000"/>
          <w:sz w:val="22"/>
        </w:rPr>
        <w:t xml:space="preserve">, as applicable, to determine the amended amount. Notwithstanding this calculation, the amended amount shall not be less than $15 per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criteria for withholding 20 percent toward liquidation of any delinquency are also met, the lesser of 20 percent or the amended amount determined in subparagraph </w:t>
      </w:r>
      <w:hyperlink r:id="rId8">
        <w:r>
          <w:rPr>
            <w:rStyle w:val="Hyperlink"/>
            <w:rFonts w:ascii="Times New Roman" w:hAnsi="Times New Roman"/>
            <w:b w:val="false"/>
            <w:i w:val="false"/>
            <w:color w:val="000000"/>
            <w:sz w:val="22"/>
          </w:rPr>
          <w:t>98.25(2)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is to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98.25(3)</w:t>
      </w:r>
      <w:r>
        <w:rPr>
          <w:rFonts w:ascii="Times New Roman" w:hAnsi="Times New Roman"/>
          <w:b w:val="false"/>
          <w:i w:val="false"/>
          <w:color w:val="000000"/>
          <w:sz w:val="22"/>
        </w:rPr>
        <w:t> </w:t>
      </w:r>
      <w:r>
        <w:rPr>
          <w:rFonts w:ascii="Times New Roman" w:hAnsi="Times New Roman"/>
          <w:b w:val="false"/>
          <w:i/>
          <w:color w:val="000000"/>
          <w:sz w:val="22"/>
        </w:rPr>
        <w:t xml:space="preserve">Hardship period. </w:t>
      </w:r>
      <w:r>
        <w:rPr>
          <w:rFonts w:ascii="Times New Roman" w:hAnsi="Times New Roman"/>
          <w:b w:val="false"/>
          <w:i w:val="false"/>
          <w:color w:val="000000"/>
          <w:sz w:val="22"/>
        </w:rPr>
        <w:t xml:space="preserve">If the hardship criterion in subrule </w:t>
      </w:r>
      <w:hyperlink r:id="rId9">
        <w:r>
          <w:rPr>
            <w:rStyle w:val="Hyperlink"/>
            <w:rFonts w:ascii="Times New Roman" w:hAnsi="Times New Roman"/>
            <w:b w:val="false"/>
            <w:i w:val="false"/>
            <w:color w:val="000000"/>
            <w:sz w:val="22"/>
          </w:rPr>
          <w:t>98.25(2)</w:t>
        </w:r>
      </w:hyperlink>
      <w:r>
        <w:rPr>
          <w:rFonts w:ascii="Times New Roman" w:hAnsi="Times New Roman"/>
          <w:b w:val="false"/>
          <w:i w:val="false"/>
          <w:color w:val="000000"/>
          <w:sz w:val="22"/>
        </w:rPr>
        <w:t xml:space="preserve"> is met, the child support recovery unit will grant the amended amount of withholding for a period of two years, subject to the provisions of subrule </w:t>
      </w:r>
      <w:hyperlink r:id="rId10">
        <w:r>
          <w:rPr>
            <w:rStyle w:val="Hyperlink"/>
            <w:rFonts w:ascii="Times New Roman" w:hAnsi="Times New Roman"/>
            <w:b w:val="false"/>
            <w:i w:val="false"/>
            <w:color w:val="000000"/>
            <w:sz w:val="22"/>
          </w:rPr>
          <w:t>98.25(6)</w:t>
        </w:r>
      </w:hyperlink>
      <w:r>
        <w:rPr>
          <w:rFonts w:ascii="Times New Roman" w:hAnsi="Times New Roman"/>
          <w:b w:val="false"/>
          <w:i w:val="false"/>
          <w:color w:val="000000"/>
          <w:sz w:val="22"/>
        </w:rPr>
        <w:t xml:space="preserve">. However, if the obligor is receiving social security disability benefits, social security retirement benefits, or supplemental security income disability benefits, the obligor is deemed to continue to meet the hardship criterion for the duration of those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98.25(4)</w:t>
      </w:r>
      <w:r>
        <w:rPr>
          <w:rFonts w:ascii="Times New Roman" w:hAnsi="Times New Roman"/>
          <w:b w:val="false"/>
          <w:i w:val="false"/>
          <w:color w:val="000000"/>
          <w:sz w:val="22"/>
        </w:rPr>
        <w:t> </w:t>
      </w:r>
      <w:r>
        <w:rPr>
          <w:rFonts w:ascii="Times New Roman" w:hAnsi="Times New Roman"/>
          <w:b w:val="false"/>
          <w:i/>
          <w:color w:val="000000"/>
          <w:sz w:val="22"/>
        </w:rPr>
        <w:t xml:space="preserve">Denying requests. </w:t>
      </w:r>
      <w:r>
        <w:rPr>
          <w:rFonts w:ascii="Times New Roman" w:hAnsi="Times New Roman"/>
          <w:b w:val="false"/>
          <w:i w:val="false"/>
          <w:color w:val="000000"/>
          <w:sz w:val="22"/>
        </w:rPr>
        <w:t>A hardship request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criterion in subrule </w:t>
      </w:r>
      <w:hyperlink r:id="rId11">
        <w:r>
          <w:rPr>
            <w:rStyle w:val="Hyperlink"/>
            <w:rFonts w:ascii="Times New Roman" w:hAnsi="Times New Roman"/>
            <w:b w:val="false"/>
            <w:i w:val="false"/>
            <w:color w:val="000000"/>
            <w:sz w:val="22"/>
          </w:rPr>
          <w:t>98.25(2)</w:t>
        </w:r>
      </w:hyperlink>
      <w:r>
        <w:rPr>
          <w:rFonts w:ascii="Times New Roman" w:hAnsi="Times New Roman"/>
          <w:b w:val="false"/>
          <w:i w:val="false"/>
          <w:color w:val="000000"/>
          <w:sz w:val="22"/>
        </w:rPr>
        <w:t xml:space="preserve"> is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obligor has been granted an amended amount of withholding based on this rule within the last two years and that hardship period will not expire in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previous hardship period expired within the last six months and, within 30 days prior to the expiration date of the previous hardship period, the obligor did not submit the following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request for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obligor’s income, and the child support recovery unit was not able to verify the obligor’s income as described in paragraph </w:t>
      </w:r>
      <w:hyperlink r:id="rId12">
        <w:r>
          <w:rPr>
            <w:rStyle w:val="Hyperlink"/>
            <w:rFonts w:ascii="Times New Roman" w:hAnsi="Times New Roman"/>
            <w:b w:val="false"/>
            <w:i w:val="false"/>
            <w:color w:val="000000"/>
            <w:sz w:val="22"/>
          </w:rPr>
          <w:t>98.25(2)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98.25(5)</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w:t>
      </w:r>
      <w:r>
        <w:rPr>
          <w:rFonts w:ascii="Times New Roman" w:hAnsi="Times New Roman"/>
          <w:b w:val="false"/>
          <w:i w:val="false"/>
          <w:color w:val="000000"/>
          <w:sz w:val="22"/>
        </w:rPr>
        <w:t>The child support recovery unit will provide written notification to the obligor of the result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granted, the written notification will include the amended amount of withholding and the date the hardship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hardship request is denied, the written notification will include the reason for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hardship prior to expiration date. </w:t>
      </w:r>
      <w:r>
        <w:rPr>
          <w:rFonts w:ascii="Times New Roman" w:hAnsi="Times New Roman"/>
          <w:b w:val="false"/>
          <w:i w:val="false"/>
          <w:color w:val="000000"/>
          <w:sz w:val="22"/>
        </w:rPr>
        <w:t>The hardship period will automatically end, regardless of expiration date,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support obligation is added to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current support obligation was previously suspended and is reinstated.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delinquency has been paid in full.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was receiving social security disability benefits, social security retirement benefits, or supplemental security income disability benefits at the time the hardship request was granted, and the child support recovery unit has verified that the obligor is no longer receiving social security disability benefits, social security retirement benefits, or supplemental security income disability benefits.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24.pdf" Type="http://schemas.openxmlformats.org/officeDocument/2006/relationships/hyperlink" Id="rId4"/>
    <Relationship TargetMode="External" Target="https://www.legis.iowa.gov/docs/iac/rule/441.98.24.pdf" Type="http://schemas.openxmlformats.org/officeDocument/2006/relationships/hyperlink" Id="rId5"/>
    <Relationship TargetMode="External" Target="https://www.legis.iowa.gov/docs/ico/chapter/252B.9.pdf" Type="http://schemas.openxmlformats.org/officeDocument/2006/relationships/hyperlink" Id="rId6"/>
    <Relationship TargetMode="External" Target="https://www.legis.iowa.gov/docs/iac/rule/441.98.24.pdf" Type="http://schemas.openxmlformats.org/officeDocument/2006/relationships/hyperlink" Id="rId7"/>
    <Relationship TargetMode="External" Target="https://www.legis.iowa.gov/docs/iac/rule/441.98.25.pdf" Type="http://schemas.openxmlformats.org/officeDocument/2006/relationships/hyperlink" Id="rId8"/>
    <Relationship TargetMode="External" Target="https://www.legis.iowa.gov/docs/iac/rule/441.98.25.pdf" Type="http://schemas.openxmlformats.org/officeDocument/2006/relationships/hyperlink" Id="rId9"/>
    <Relationship TargetMode="External" Target="https://www.legis.iowa.gov/docs/iac/rule/441.98.25.pdf" Type="http://schemas.openxmlformats.org/officeDocument/2006/relationships/hyperlink" Id="rId10"/>
    <Relationship TargetMode="External" Target="https://www.legis.iowa.gov/docs/iac/rule/441.98.25.pdf" Type="http://schemas.openxmlformats.org/officeDocument/2006/relationships/hyperlink" Id="rId11"/>
    <Relationship TargetMode="External" Target="https://www.legis.iowa.gov/docs/iac/rule/441.98.2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