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441—98.2</w:t>
      </w:r>
      <w:r>
        <w:rPr>
          <w:rFonts w:ascii="Times New Roman" w:hAnsi="Times New Roman"/>
          <w:b/>
          <w:i w:val="false"/>
          <w:color w:val="000000"/>
          <w:sz w:val="22"/>
        </w:rPr>
        <w:t xml:space="preserve">(252E) </w:t>
      </w:r>
      <w:r>
        <w:rPr>
          <w:rFonts w:ascii="Times New Roman" w:hAnsi="Times New Roman"/>
          <w:b/>
          <w:i w:val="false"/>
          <w:color w:val="000000"/>
          <w:sz w:val="22"/>
        </w:rPr>
        <w:t xml:space="preserve">Provision of services. </w:t>
      </w:r>
      <w:r>
        <w:rPr>
          <w:rFonts w:ascii="Times New Roman" w:hAnsi="Times New Roman"/>
          <w:b w:val="false"/>
          <w:i w:val="false"/>
          <w:color w:val="000000"/>
          <w:sz w:val="22"/>
        </w:rPr>
        <w:t xml:space="preserve">The child support recovery unit shall provide medical support services to public assistance and nonpublic assistance recipients of child support services. Unless good cause has been established, recipients of public assistance are required to cooperate with the child support recovery unit as a condition of eligibility as prescribed in rule </w:t>
      </w:r>
      <w:hyperlink r:id="rId4">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 xml:space="preserve">(249A).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4112C</w:t>
      </w:r>
      <w:r>
        <w:rPr>
          <w:rFonts w:ascii="Times New Roman" w:hAnsi="Times New Roman"/>
          <w:b w:val="false"/>
          <w:i w:val="false"/>
          <w:color w:val="000000"/>
          <w:sz w:val="16"/>
        </w:rPr>
        <w:t>, IAB 11/7/18, effective 2/15/19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5.1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