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441—98.132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record in an administrative appeal under this rule shall include, in addition to those materials specified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17A.12(6)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notice of appeal, all evidence received or considered and all other submissions, including the verbatim record of the hearing.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2/10/21, effective 4/1/21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2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