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441—98.106</w:t>
      </w:r>
      <w:r>
        <w:rPr>
          <w:rFonts w:ascii="Times New Roman" w:hAnsi="Times New Roman"/>
          <w:b/>
          <w:i w:val="false"/>
          <w:color w:val="000000"/>
          <w:sz w:val="22"/>
        </w:rPr>
        <w:t xml:space="preserve">(252J) </w:t>
      </w:r>
      <w:r>
        <w:rPr>
          <w:rFonts w:ascii="Times New Roman" w:hAnsi="Times New Roman"/>
          <w:b/>
          <w:i w:val="false"/>
          <w:color w:val="000000"/>
          <w:sz w:val="22"/>
        </w:rPr>
        <w:t xml:space="preserve">Staying the process due to full payment of support. </w:t>
      </w:r>
      <w:r>
        <w:rPr>
          <w:rFonts w:ascii="Times New Roman" w:hAnsi="Times New Roman"/>
          <w:b w:val="false"/>
          <w:i w:val="false"/>
          <w:color w:val="000000"/>
          <w:sz w:val="22"/>
        </w:rPr>
        <w:t>If the obligor, at any time, pays the total support owed, both current and past due, or an individual complies with the subpoena or warrant, CSRU shall stay the process, and any Form 470-3274 that has been issued shall be withdrawn by CSRU.</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