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441—98.105</w:t>
      </w:r>
      <w:r>
        <w:rPr>
          <w:rFonts w:ascii="Times New Roman" w:hAnsi="Times New Roman"/>
          <w:b/>
          <w:i w:val="false"/>
          <w:color w:val="000000"/>
          <w:sz w:val="22"/>
        </w:rPr>
        <w:t xml:space="preserve">(252J) </w:t>
      </w:r>
      <w:r>
        <w:rPr>
          <w:rFonts w:ascii="Times New Roman" w:hAnsi="Times New Roman"/>
          <w:b/>
          <w:i w:val="false"/>
          <w:color w:val="000000"/>
          <w:sz w:val="22"/>
        </w:rPr>
        <w:t xml:space="preserve">Payment agreement. </w:t>
      </w:r>
      <w:r>
        <w:rPr>
          <w:rFonts w:ascii="Times New Roman" w:hAnsi="Times New Roman"/>
          <w:b w:val="false"/>
          <w:i w:val="false"/>
          <w:color w:val="000000"/>
          <w:sz w:val="22"/>
        </w:rPr>
        <w:t xml:space="preserve">The License Sanction Payment Agreement shall require the obligor to pay the lower of the amount calculated in subrule </w:t>
      </w:r>
      <w:hyperlink r:id="rId4">
        <w:r>
          <w:rPr>
            <w:rStyle w:val="Hyperlink"/>
            <w:rFonts w:ascii="Times New Roman" w:hAnsi="Times New Roman"/>
            <w:b w:val="false"/>
            <w:i w:val="false"/>
            <w:color w:val="000000"/>
            <w:sz w:val="22"/>
          </w:rPr>
          <w:t>98.104(2)</w:t>
        </w:r>
      </w:hyperlink>
      <w:r>
        <w:rPr>
          <w:rFonts w:ascii="Times New Roman" w:hAnsi="Times New Roman"/>
          <w:b w:val="false"/>
          <w:i w:val="false"/>
          <w:color w:val="000000"/>
          <w:sz w:val="22"/>
        </w:rPr>
        <w:t xml:space="preserve"> or the maximum amount payable under an income withholding order as specified in </w:t>
      </w:r>
      <w:hyperlink r:id="rId5">
        <w:r>
          <w:rPr>
            <w:rStyle w:val="Hyperlink"/>
            <w:rFonts w:ascii="Times New Roman" w:hAnsi="Times New Roman"/>
            <w:b w:val="false"/>
            <w:i w:val="false"/>
            <w:color w:val="000000"/>
            <w:sz w:val="22"/>
          </w:rPr>
          <w:t>rule 441</w:t>
        </w:r>
      </w:hyperlink>
      <w:r>
        <w:rPr>
          <w:rFonts w:ascii="Times New Roman" w:hAnsi="Times New Roman"/>
          <w:b w:val="false"/>
          <w:i w:val="false"/>
          <w:color w:val="000000"/>
          <w:sz w:val="22"/>
        </w:rPr>
        <w:t>—</w:t>
      </w:r>
      <w:hyperlink r:id="rId6">
        <w:r>
          <w:rPr>
            <w:rStyle w:val="Hyperlink"/>
            <w:rFonts w:ascii="Times New Roman" w:hAnsi="Times New Roman"/>
            <w:b w:val="false"/>
            <w:i w:val="false"/>
            <w:color w:val="000000"/>
            <w:sz w:val="22"/>
          </w:rPr>
          <w:t>98.24</w:t>
        </w:r>
      </w:hyperlink>
      <w:r>
        <w:rPr>
          <w:rFonts w:ascii="Times New Roman" w:hAnsi="Times New Roman"/>
          <w:b w:val="false"/>
          <w:i w:val="false"/>
          <w:color w:val="000000"/>
          <w:sz w:val="22"/>
        </w:rPr>
        <w:t>(252D).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98.105(1)</w:t>
      </w:r>
      <w:r>
        <w:rPr>
          <w:rFonts w:ascii="Times New Roman" w:hAnsi="Times New Roman"/>
          <w:b w:val="false"/>
          <w:i w:val="false"/>
          <w:color w:val="000000"/>
          <w:sz w:val="22"/>
        </w:rPr>
        <w:t> </w:t>
      </w:r>
      <w:r>
        <w:rPr>
          <w:rFonts w:ascii="Times New Roman" w:hAnsi="Times New Roman"/>
          <w:b w:val="false"/>
          <w:i/>
          <w:color w:val="000000"/>
          <w:sz w:val="22"/>
        </w:rPr>
        <w:t xml:space="preserve">Duration of payment agreement. </w:t>
      </w:r>
      <w:r>
        <w:rPr>
          <w:rFonts w:ascii="Times New Roman" w:hAnsi="Times New Roman"/>
          <w:b w:val="false"/>
          <w:i w:val="false"/>
          <w:color w:val="000000"/>
          <w:sz w:val="22"/>
        </w:rPr>
        <w:t xml:space="preserve">The License Sanction Payment Agreement signed under this division shall remain in effect for at least one year from the date of issuance unless CSRU determines the obligor has a valid reason for exemption as specified in rule </w:t>
      </w:r>
      <w:hyperlink r:id="rId7">
        <w:r>
          <w:rPr>
            <w:rStyle w:val="Hyperlink"/>
            <w:rFonts w:ascii="Times New Roman" w:hAnsi="Times New Roman"/>
            <w:b w:val="false"/>
            <w:i w:val="false"/>
            <w:color w:val="000000"/>
            <w:sz w:val="22"/>
          </w:rPr>
          <w:t>441—98.102</w:t>
        </w:r>
      </w:hyperlink>
      <w:r>
        <w:rPr>
          <w:rFonts w:ascii="Times New Roman" w:hAnsi="Times New Roman"/>
          <w:b w:val="false"/>
          <w:i w:val="false"/>
          <w:color w:val="000000"/>
          <w:sz w:val="22"/>
        </w:rPr>
        <w:t xml:space="preserve">(252J). Except in those cases in which review and adjustment are in process, CSRU may, at the end of the year, begin the process of reviewing the case to ensure that the payment amount continues to accurately reflect the obligor’s ability to pay as calculated in subrule </w:t>
      </w:r>
      <w:hyperlink r:id="rId8">
        <w:r>
          <w:rPr>
            <w:rStyle w:val="Hyperlink"/>
            <w:rFonts w:ascii="Times New Roman" w:hAnsi="Times New Roman"/>
            <w:b w:val="false"/>
            <w:i w:val="false"/>
            <w:color w:val="000000"/>
            <w:sz w:val="22"/>
          </w:rPr>
          <w:t>98.104(1)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98.105(2)</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at any time following the signing of a payment agreement the obligor fails to comply with all the terms of the agreement, CSRU shall issue Form 470-3274 to applicable licensing authorities in accordance with the provisions of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104.pdf" Type="http://schemas.openxmlformats.org/officeDocument/2006/relationships/hyperlink" Id="rId4"/>
    <Relationship TargetMode="External" Target="https://www.legis.iowa.gov/docs/iac/chapter/441.441.pdf" Type="http://schemas.openxmlformats.org/officeDocument/2006/relationships/hyperlink" Id="rId5"/>
    <Relationship TargetMode="External" Target="https://www.legis.iowa.gov/docs/iac/rule/441.98.24.pdf" Type="http://schemas.openxmlformats.org/officeDocument/2006/relationships/hyperlink" Id="rId6"/>
    <Relationship TargetMode="External" Target="https://www.legis.iowa.gov/docs/iac/rule/441.98.102.pdf" Type="http://schemas.openxmlformats.org/officeDocument/2006/relationships/hyperlink" Id="rId7"/>
    <Relationship TargetMode="External" Target="https://www.legis.iowa.gov/docs/iac/rule/441.98.104.pdf" Type="http://schemas.openxmlformats.org/officeDocument/2006/relationships/hyperlink" Id="rId8"/>
    <Relationship TargetMode="External" Target="https://www.legis.iowa.gov/docs/ico/chapter/252J.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