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441—98.104</w:t>
      </w:r>
      <w:r>
        <w:rPr>
          <w:rFonts w:ascii="Times New Roman" w:hAnsi="Times New Roman"/>
          <w:b/>
          <w:i w:val="false"/>
          <w:color w:val="000000"/>
          <w:sz w:val="22"/>
        </w:rPr>
        <w:t xml:space="preserve">(252J) </w:t>
      </w:r>
      <w:r>
        <w:rPr>
          <w:rFonts w:ascii="Times New Roman" w:hAnsi="Times New Roman"/>
          <w:b/>
          <w:i w:val="false"/>
          <w:color w:val="000000"/>
          <w:sz w:val="22"/>
        </w:rPr>
        <w:t xml:space="preserve">Conference.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98.104(1)</w:t>
      </w:r>
      <w:r>
        <w:rPr>
          <w:rFonts w:ascii="Times New Roman" w:hAnsi="Times New Roman"/>
          <w:b w:val="false"/>
          <w:i w:val="false"/>
          <w:color w:val="000000"/>
          <w:sz w:val="22"/>
        </w:rPr>
        <w:t> </w:t>
      </w:r>
      <w:r>
        <w:rPr>
          <w:rFonts w:ascii="Times New Roman" w:hAnsi="Times New Roman"/>
          <w:b w:val="false"/>
          <w:i/>
          <w:color w:val="000000"/>
          <w:sz w:val="22"/>
        </w:rPr>
        <w:t xml:space="preserve">Scheduling of conference. </w:t>
      </w:r>
      <w:r>
        <w:rPr>
          <w:rFonts w:ascii="Times New Roman" w:hAnsi="Times New Roman"/>
          <w:b w:val="false"/>
          <w:i w:val="false"/>
          <w:color w:val="000000"/>
          <w:sz w:val="22"/>
        </w:rPr>
        <w:t xml:space="preserve">Upon receipt from an individual of a written request for a conference, CSRU shall schedule a conference not more than 30 days in the future. At the request of either CSRU or the individual, the conference may be rescheduled one time. When setting the date and time of the conference, if notice was sent to an obligor under subrule </w:t>
      </w:r>
      <w:hyperlink r:id="rId4">
        <w:r>
          <w:rPr>
            <w:rStyle w:val="Hyperlink"/>
            <w:rFonts w:ascii="Times New Roman" w:hAnsi="Times New Roman"/>
            <w:b w:val="false"/>
            <w:i w:val="false"/>
            <w:color w:val="000000"/>
            <w:sz w:val="22"/>
          </w:rPr>
          <w:t>98.103(1)</w:t>
        </w:r>
      </w:hyperlink>
      <w:r>
        <w:rPr>
          <w:rFonts w:ascii="Times New Roman" w:hAnsi="Times New Roman"/>
          <w:b w:val="false"/>
          <w:i w:val="false"/>
          <w:color w:val="000000"/>
          <w:sz w:val="22"/>
        </w:rPr>
        <w:t>, CSRU shall request the completion of Form 470-0204 and other financial information from both the obligor and the obligee as may be necessary to determine the obligor’s ability to comply with the support obligation.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98.104(2)</w:t>
      </w:r>
      <w:r>
        <w:rPr>
          <w:rFonts w:ascii="Times New Roman" w:hAnsi="Times New Roman"/>
          <w:b w:val="false"/>
          <w:i w:val="false"/>
          <w:color w:val="000000"/>
          <w:sz w:val="22"/>
        </w:rPr>
        <w:t> </w:t>
      </w:r>
      <w:r>
        <w:rPr>
          <w:rFonts w:ascii="Times New Roman" w:hAnsi="Times New Roman"/>
          <w:b w:val="false"/>
          <w:i/>
          <w:color w:val="000000"/>
          <w:sz w:val="22"/>
        </w:rPr>
        <w:t xml:space="preserve">Payment calculation. </w:t>
      </w:r>
      <w:r>
        <w:rPr>
          <w:rFonts w:ascii="Times New Roman" w:hAnsi="Times New Roman"/>
          <w:b w:val="false"/>
          <w:i w:val="false"/>
          <w:color w:val="000000"/>
          <w:sz w:val="22"/>
        </w:rPr>
        <w:t xml:space="preserve">If notice was sent to an obligor under subrule </w:t>
      </w:r>
      <w:hyperlink r:id="rId5">
        <w:r>
          <w:rPr>
            <w:rStyle w:val="Hyperlink"/>
            <w:rFonts w:ascii="Times New Roman" w:hAnsi="Times New Roman"/>
            <w:b w:val="false"/>
            <w:i w:val="false"/>
            <w:color w:val="000000"/>
            <w:sz w:val="22"/>
          </w:rPr>
          <w:t>98.103(1)</w:t>
        </w:r>
      </w:hyperlink>
      <w:r>
        <w:rPr>
          <w:rFonts w:ascii="Times New Roman" w:hAnsi="Times New Roman"/>
          <w:b w:val="false"/>
          <w:i w:val="false"/>
          <w:color w:val="000000"/>
          <w:sz w:val="22"/>
        </w:rPr>
        <w:t xml:space="preserve"> during the conference held in compliance with the provisions of Iowa Code section </w:t>
      </w:r>
      <w:hyperlink r:id="rId6">
        <w:r>
          <w:rPr>
            <w:rStyle w:val="Hyperlink"/>
            <w:rFonts w:ascii="Times New Roman" w:hAnsi="Times New Roman"/>
            <w:b w:val="false"/>
            <w:i w:val="false"/>
            <w:color w:val="000000"/>
            <w:sz w:val="22"/>
          </w:rPr>
          <w:t>252J.4</w:t>
        </w:r>
      </w:hyperlink>
      <w:r>
        <w:rPr>
          <w:rFonts w:ascii="Times New Roman" w:hAnsi="Times New Roman"/>
          <w:b w:val="false"/>
          <w:i w:val="false"/>
          <w:color w:val="000000"/>
          <w:sz w:val="22"/>
        </w:rPr>
        <w:t xml:space="preserve">, CSRU shall determine if the obligor’s ability to pay varies from the current support order by applying the mandatory supreme court guidelines as contained in </w:t>
      </w:r>
      <w:hyperlink r:id="rId7">
        <w:r>
          <w:rPr>
            <w:rStyle w:val="Hyperlink"/>
            <w:rFonts w:ascii="Times New Roman" w:hAnsi="Times New Roman"/>
            <w:b w:val="false"/>
            <w:i w:val="false"/>
            <w:color w:val="000000"/>
            <w:sz w:val="22"/>
          </w:rPr>
          <w:t>441—Chapter 99</w:t>
        </w:r>
      </w:hyperlink>
      <w:r>
        <w:rPr>
          <w:rFonts w:ascii="Times New Roman" w:hAnsi="Times New Roman"/>
          <w:b w:val="false"/>
          <w:i w:val="false"/>
          <w:color w:val="000000"/>
          <w:sz w:val="22"/>
        </w:rPr>
        <w:t xml:space="preserve">, Division I, with the exception of subrules </w:t>
      </w:r>
      <w:hyperlink r:id="rId8">
        <w:r>
          <w:rPr>
            <w:rStyle w:val="Hyperlink"/>
            <w:rFonts w:ascii="Times New Roman" w:hAnsi="Times New Roman"/>
            <w:b w:val="false"/>
            <w:i w:val="false"/>
            <w:color w:val="000000"/>
            <w:sz w:val="22"/>
          </w:rPr>
          <w:t>99.4(3)</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99.5(5)</w:t>
        </w:r>
      </w:hyperlink>
      <w:r>
        <w:rPr>
          <w:rFonts w:ascii="Times New Roman" w:hAnsi="Times New Roman"/>
          <w:b w:val="false"/>
          <w:i w:val="false"/>
          <w:color w:val="000000"/>
          <w:sz w:val="22"/>
        </w:rPr>
        <w:t xml:space="preserve">. If further information from the obligor is necessary for the calculation, CSRU may schedule an additional conference no less than ten days in the future in order to allow the obligor to present additional information as may be necessary to calculate the amount of the payment. If, at that time, the obligor fails to provide the required information, CSRU shall issue a Certificate of Noncompliance to applicable licensing authorities. If the obligee fails to provide the necessary information to complete the calculation, CSRU shall use whatever information is available. If no income information is available for the obligee, CSRU shall determine the obligee’s income in accordance with 441—subrules </w:t>
      </w:r>
      <w:hyperlink r:id="rId10">
        <w:r>
          <w:rPr>
            <w:rStyle w:val="Hyperlink"/>
            <w:rFonts w:ascii="Times New Roman" w:hAnsi="Times New Roman"/>
            <w:b w:val="false"/>
            <w:i w:val="false"/>
            <w:color w:val="000000"/>
            <w:sz w:val="22"/>
          </w:rPr>
          <w:t>99.1(2)</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99.1(4)</w:t>
        </w:r>
      </w:hyperlink>
      <w:r>
        <w:rPr>
          <w:rFonts w:ascii="Times New Roman" w:hAnsi="Times New Roman"/>
          <w:b w:val="false"/>
          <w:i w:val="false"/>
          <w:color w:val="000000"/>
          <w:sz w:val="22"/>
        </w:rPr>
        <w:t>. This calculation is for determining the amount of payment for the license sanction process only, and does not modify the amount of support obligation contained in the underlying court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98.104(3)</w:t>
      </w:r>
      <w:r>
        <w:rPr>
          <w:rFonts w:ascii="Times New Roman" w:hAnsi="Times New Roman"/>
          <w:b w:val="false"/>
          <w:i w:val="false"/>
          <w:color w:val="000000"/>
          <w:sz w:val="22"/>
        </w:rPr>
        <w:t> </w:t>
      </w:r>
      <w:r>
        <w:rPr>
          <w:rFonts w:ascii="Times New Roman" w:hAnsi="Times New Roman"/>
          <w:b w:val="false"/>
          <w:i/>
          <w:color w:val="000000"/>
          <w:sz w:val="22"/>
        </w:rPr>
        <w:t xml:space="preserve">Referral for review and adjustment. </w:t>
      </w:r>
      <w:r>
        <w:rPr>
          <w:rFonts w:ascii="Times New Roman" w:hAnsi="Times New Roman"/>
          <w:b w:val="false"/>
          <w:i w:val="false"/>
          <w:color w:val="000000"/>
          <w:sz w:val="22"/>
        </w:rPr>
        <w:t xml:space="preserve">If the amount calculated in subrule </w:t>
      </w:r>
      <w:hyperlink r:id="rId12">
        <w:r>
          <w:rPr>
            <w:rStyle w:val="Hyperlink"/>
            <w:rFonts w:ascii="Times New Roman" w:hAnsi="Times New Roman"/>
            <w:b w:val="false"/>
            <w:i w:val="false"/>
            <w:color w:val="000000"/>
            <w:sz w:val="22"/>
          </w:rPr>
          <w:t>98.104(2)</w:t>
        </w:r>
      </w:hyperlink>
      <w:r>
        <w:rPr>
          <w:rFonts w:ascii="Times New Roman" w:hAnsi="Times New Roman"/>
          <w:b w:val="false"/>
          <w:i w:val="false"/>
          <w:color w:val="000000"/>
          <w:sz w:val="22"/>
        </w:rPr>
        <w:t xml:space="preserve"> meets the criteria for review and adjustment as specified in rule </w:t>
      </w:r>
      <w:hyperlink r:id="rId13">
        <w:r>
          <w:rPr>
            <w:rStyle w:val="Hyperlink"/>
            <w:rFonts w:ascii="Times New Roman" w:hAnsi="Times New Roman"/>
            <w:b w:val="false"/>
            <w:i w:val="false"/>
            <w:color w:val="000000"/>
            <w:sz w:val="22"/>
          </w:rPr>
          <w:t>441—99.62</w:t>
        </w:r>
      </w:hyperlink>
      <w:r>
        <w:rPr>
          <w:rFonts w:ascii="Times New Roman" w:hAnsi="Times New Roman"/>
          <w:b w:val="false"/>
          <w:i w:val="false"/>
          <w:color w:val="000000"/>
          <w:sz w:val="22"/>
        </w:rPr>
        <w:t xml:space="preserve">(252B,252H), or administrative modification as specified in rule </w:t>
      </w:r>
      <w:hyperlink r:id="rId14">
        <w:r>
          <w:rPr>
            <w:rStyle w:val="Hyperlink"/>
            <w:rFonts w:ascii="Times New Roman" w:hAnsi="Times New Roman"/>
            <w:b w:val="false"/>
            <w:i w:val="false"/>
            <w:color w:val="000000"/>
            <w:sz w:val="22"/>
          </w:rPr>
          <w:t>441—99.82</w:t>
        </w:r>
      </w:hyperlink>
      <w:r>
        <w:rPr>
          <w:rFonts w:ascii="Times New Roman" w:hAnsi="Times New Roman"/>
          <w:b w:val="false"/>
          <w:i w:val="false"/>
          <w:color w:val="000000"/>
          <w:sz w:val="22"/>
        </w:rPr>
        <w:t xml:space="preserve">(252H) and subrules </w:t>
      </w:r>
      <w:hyperlink r:id="rId15">
        <w:r>
          <w:rPr>
            <w:rStyle w:val="Hyperlink"/>
            <w:rFonts w:ascii="Times New Roman" w:hAnsi="Times New Roman"/>
            <w:b w:val="false"/>
            <w:i w:val="false"/>
            <w:color w:val="000000"/>
            <w:sz w:val="22"/>
          </w:rPr>
          <w:t>441—99.83</w:t>
        </w:r>
      </w:hyperlink>
      <w:r>
        <w:rPr>
          <w:rFonts w:ascii="Times New Roman" w:hAnsi="Times New Roman"/>
          <w:b w:val="false"/>
          <w:i w:val="false"/>
          <w:color w:val="000000"/>
          <w:sz w:val="22"/>
        </w:rPr>
        <w:t xml:space="preserve">(1), </w:t>
      </w:r>
      <w:hyperlink r:id="rId16">
        <w:r>
          <w:rPr>
            <w:rStyle w:val="Hyperlink"/>
            <w:rFonts w:ascii="Times New Roman" w:hAnsi="Times New Roman"/>
            <w:b w:val="false"/>
            <w:i w:val="false"/>
            <w:color w:val="000000"/>
            <w:sz w:val="22"/>
          </w:rPr>
          <w:t>99.83(2)</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99.83(6)</w:t>
        </w:r>
      </w:hyperlink>
      <w:r>
        <w:rPr>
          <w:rFonts w:ascii="Times New Roman" w:hAnsi="Times New Roman"/>
          <w:b w:val="false"/>
          <w:i w:val="false"/>
          <w:color w:val="000000"/>
          <w:sz w:val="22"/>
        </w:rPr>
        <w:t xml:space="preserve"> at the time CSRU provides the payment agreement to the obligor, CSRU shall also provide the obligor with any necessary forms to request a review and adjustment or administrative modification of the support obligation. The payment agreement remains in effect during the review and adjustment or administrative modification process.</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6855C</w:t>
      </w:r>
      <w:r>
        <w:rPr>
          <w:rFonts w:ascii="Times New Roman" w:hAnsi="Times New Roman"/>
          <w:b w:val="false"/>
          <w:i w:val="false"/>
          <w:color w:val="000000"/>
          <w:sz w:val="16"/>
        </w:rPr>
        <w:t>, IAB 2/8/23, effective 4/1/23</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41.98.103.pdf" Type="http://schemas.openxmlformats.org/officeDocument/2006/relationships/hyperlink" Id="rId4"/>
    <Relationship TargetMode="External" Target="https://www.legis.iowa.gov/docs/iac/rule/441.98.103.pdf" Type="http://schemas.openxmlformats.org/officeDocument/2006/relationships/hyperlink" Id="rId5"/>
    <Relationship TargetMode="External" Target="https://www.legis.iowa.gov/docs/ico/chapter/252J.4.pdf" Type="http://schemas.openxmlformats.org/officeDocument/2006/relationships/hyperlink" Id="rId6"/>
    <Relationship TargetMode="External" Target="https://www.legis.iowa.gov/docs/iac/chapter/441.99.pdf" Type="http://schemas.openxmlformats.org/officeDocument/2006/relationships/hyperlink" Id="rId7"/>
    <Relationship TargetMode="External" Target="https://www.legis.iowa.gov/docs/iac/rule/441.99.4.pdf" Type="http://schemas.openxmlformats.org/officeDocument/2006/relationships/hyperlink" Id="rId8"/>
    <Relationship TargetMode="External" Target="https://www.legis.iowa.gov/docs/iac/rule/441.99.5.pdf" Type="http://schemas.openxmlformats.org/officeDocument/2006/relationships/hyperlink" Id="rId9"/>
    <Relationship TargetMode="External" Target="https://www.legis.iowa.gov/docs/iac/rule/441.99.1.pdf" Type="http://schemas.openxmlformats.org/officeDocument/2006/relationships/hyperlink" Id="rId10"/>
    <Relationship TargetMode="External" Target="https://www.legis.iowa.gov/docs/iac/rule/441.99.1.pdf" Type="http://schemas.openxmlformats.org/officeDocument/2006/relationships/hyperlink" Id="rId11"/>
    <Relationship TargetMode="External" Target="https://www.legis.iowa.gov/docs/iac/rule/441.98.104.pdf" Type="http://schemas.openxmlformats.org/officeDocument/2006/relationships/hyperlink" Id="rId12"/>
    <Relationship TargetMode="External" Target="https://www.legis.iowa.gov/docs/iac/rule/441.99.62.pdf" Type="http://schemas.openxmlformats.org/officeDocument/2006/relationships/hyperlink" Id="rId13"/>
    <Relationship TargetMode="External" Target="https://www.legis.iowa.gov/docs/iac/rule/441.99.82.pdf" Type="http://schemas.openxmlformats.org/officeDocument/2006/relationships/hyperlink" Id="rId14"/>
    <Relationship TargetMode="External" Target="https://www.legis.iowa.gov/docs/iac/rule/441.99.83.pdf" Type="http://schemas.openxmlformats.org/officeDocument/2006/relationships/hyperlink" Id="rId15"/>
    <Relationship TargetMode="External" Target="https://www.legis.iowa.gov/docs/iac/rule/441.99.83.pdf" Type="http://schemas.openxmlformats.org/officeDocument/2006/relationships/hyperlink" Id="rId16"/>
    <Relationship TargetMode="External" Target="https://www.legis.iowa.gov/docs/iac/rule/441.99.83.pdf" Type="http://schemas.openxmlformats.org/officeDocument/2006/relationships/hyperlink" Id="rId1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