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441—98.102</w:t>
      </w:r>
      <w:r>
        <w:rPr>
          <w:rFonts w:ascii="Times New Roman" w:hAnsi="Times New Roman"/>
          <w:b/>
          <w:i w:val="false"/>
          <w:color w:val="000000"/>
          <w:sz w:val="22"/>
        </w:rPr>
        <w:t xml:space="preserve">(252J) </w:t>
      </w:r>
      <w:r>
        <w:rPr>
          <w:rFonts w:ascii="Times New Roman" w:hAnsi="Times New Roman"/>
          <w:b/>
          <w:i w:val="false"/>
          <w:color w:val="000000"/>
          <w:sz w:val="22"/>
        </w:rPr>
        <w:t xml:space="preserve">Reasons for exemption. </w:t>
      </w:r>
      <w:r>
        <w:rPr>
          <w:rFonts w:ascii="Times New Roman" w:hAnsi="Times New Roman"/>
          <w:b w:val="false"/>
          <w:i w:val="false"/>
          <w:color w:val="000000"/>
          <w:sz w:val="22"/>
        </w:rPr>
        <w:t xml:space="preserve">Certain conditions shall be considered valid reasons for exemption from the license sanction process. Upon verification of these conditions, CSRU shall bypass, exempt, or withdraw the individual’s name from referral to licensing agencies for the purpose of applying a license sanction. When the information to verify the exemption is not available to CSRU through online sources, CSRU shall request, and the individual shall provide, verification of the reason for exemption. Valid reasons for exemption for failure to comply with a subpoena or warrant and acceptable verification are those listed in subrules </w:t>
      </w:r>
      <w:hyperlink r:id="rId4">
        <w:r>
          <w:rPr>
            <w:rStyle w:val="Hyperlink"/>
            <w:rFonts w:ascii="Times New Roman" w:hAnsi="Times New Roman"/>
            <w:b w:val="false"/>
            <w:i w:val="false"/>
            <w:color w:val="000000"/>
            <w:sz w:val="22"/>
          </w:rPr>
          <w:t>98.102(2)</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98.102(3)</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98.102(5)</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98.102(6)</w:t>
        </w:r>
      </w:hyperlink>
      <w:r>
        <w:rPr>
          <w:rFonts w:ascii="Times New Roman" w:hAnsi="Times New Roman"/>
          <w:b w:val="false"/>
          <w:i w:val="false"/>
          <w:color w:val="000000"/>
          <w:sz w:val="22"/>
        </w:rPr>
        <w:t>. Valid reasons for exemption for delinquent support payments and acceptable verification are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98.102(1)</w:t>
      </w:r>
      <w:r>
        <w:rPr>
          <w:rFonts w:ascii="Times New Roman" w:hAnsi="Times New Roman"/>
          <w:b w:val="false"/>
          <w:i w:val="false"/>
          <w:color w:val="000000"/>
          <w:sz w:val="22"/>
        </w:rPr>
        <w:t> </w:t>
      </w:r>
      <w:r>
        <w:rPr>
          <w:rFonts w:ascii="Times New Roman" w:hAnsi="Times New Roman"/>
          <w:b w:val="false"/>
          <w:i/>
          <w:color w:val="000000"/>
          <w:sz w:val="22"/>
        </w:rPr>
        <w:t xml:space="preserve">Receipt of social security, supplemental security income (SSI) or the family investment program (FIP). </w:t>
      </w:r>
      <w:r>
        <w:rPr>
          <w:rFonts w:ascii="Times New Roman" w:hAnsi="Times New Roman"/>
          <w:b w:val="false"/>
          <w:i w:val="false"/>
          <w:color w:val="000000"/>
          <w:sz w:val="22"/>
        </w:rPr>
        <w:t>Receipt of social security, SSI, FIP, or county assistance (general relief, general assistance, community services, veteran’s assistance), based upon the eligibility of the obligor, is considered a valid reason for exemption when verified by information contained in online sources available to CSRU or written verification from the agency providing the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98.102(2)</w:t>
      </w:r>
      <w:r>
        <w:rPr>
          <w:rFonts w:ascii="Times New Roman" w:hAnsi="Times New Roman"/>
          <w:b w:val="false"/>
          <w:i w:val="false"/>
          <w:color w:val="000000"/>
          <w:sz w:val="22"/>
        </w:rPr>
        <w:t> </w:t>
      </w:r>
      <w:r>
        <w:rPr>
          <w:rFonts w:ascii="Times New Roman" w:hAnsi="Times New Roman"/>
          <w:b w:val="false"/>
          <w:i/>
          <w:color w:val="000000"/>
          <w:sz w:val="22"/>
        </w:rPr>
        <w:t xml:space="preserve">Temporary illness or disability. </w:t>
      </w:r>
      <w:r>
        <w:rPr>
          <w:rFonts w:ascii="Times New Roman" w:hAnsi="Times New Roman"/>
          <w:b w:val="false"/>
          <w:i w:val="false"/>
          <w:color w:val="000000"/>
          <w:sz w:val="22"/>
        </w:rPr>
        <w:t>Temporary illness or disability of the individual or illness or disability of another household member which requires the presence of the individual in the home as caretaker is considered a valid reason for exemption upon receipt of a completed Form 470-3158 verifying the individual’s or household member’s inability to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98.102(3)</w:t>
      </w:r>
      <w:r>
        <w:rPr>
          <w:rFonts w:ascii="Times New Roman" w:hAnsi="Times New Roman"/>
          <w:b w:val="false"/>
          <w:i w:val="false"/>
          <w:color w:val="000000"/>
          <w:sz w:val="22"/>
        </w:rPr>
        <w:t> </w:t>
      </w:r>
      <w:r>
        <w:rPr>
          <w:rFonts w:ascii="Times New Roman" w:hAnsi="Times New Roman"/>
          <w:b w:val="false"/>
          <w:i/>
          <w:color w:val="000000"/>
          <w:sz w:val="22"/>
        </w:rPr>
        <w:t xml:space="preserve">Incarceration. </w:t>
      </w:r>
      <w:r>
        <w:rPr>
          <w:rFonts w:ascii="Times New Roman" w:hAnsi="Times New Roman"/>
          <w:b w:val="false"/>
          <w:i w:val="false"/>
          <w:color w:val="000000"/>
          <w:sz w:val="22"/>
        </w:rPr>
        <w:t>Incarceration is considered a valid reason for exemption when verified through online information available to CSRU or upon receipt of verification from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98.102(4)</w:t>
      </w:r>
      <w:r>
        <w:rPr>
          <w:rFonts w:ascii="Times New Roman" w:hAnsi="Times New Roman"/>
          <w:b w:val="false"/>
          <w:i w:val="false"/>
          <w:color w:val="000000"/>
          <w:sz w:val="22"/>
        </w:rPr>
        <w:t> </w:t>
      </w:r>
      <w:r>
        <w:rPr>
          <w:rFonts w:ascii="Times New Roman" w:hAnsi="Times New Roman"/>
          <w:b w:val="false"/>
          <w:i/>
          <w:color w:val="000000"/>
          <w:sz w:val="22"/>
        </w:rPr>
        <w:t xml:space="preserve">Job training. </w:t>
      </w:r>
      <w:r>
        <w:rPr>
          <w:rFonts w:ascii="Times New Roman" w:hAnsi="Times New Roman"/>
          <w:b w:val="false"/>
          <w:i w:val="false"/>
          <w:color w:val="000000"/>
          <w:sz w:val="22"/>
        </w:rPr>
        <w:t>Participation in a job-training or job-seeking program through the department of employment services as a result of receiving benefits from the Supplemental Nutrition Assistance Program is considered a valid reason for exemption upon receipt of verification from the department of employment services or verification through online information available to CSRU or upon receipt of a written statement from an income maintenance worker.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98.102(5)</w:t>
      </w:r>
      <w:r>
        <w:rPr>
          <w:rFonts w:ascii="Times New Roman" w:hAnsi="Times New Roman"/>
          <w:b w:val="false"/>
          <w:i w:val="false"/>
          <w:color w:val="000000"/>
          <w:sz w:val="22"/>
        </w:rPr>
        <w:t> </w:t>
      </w:r>
      <w:r>
        <w:rPr>
          <w:rFonts w:ascii="Times New Roman" w:hAnsi="Times New Roman"/>
          <w:b w:val="false"/>
          <w:i/>
          <w:color w:val="000000"/>
          <w:sz w:val="22"/>
        </w:rPr>
        <w:t xml:space="preserve">Chemical dependency treatment. </w:t>
      </w:r>
      <w:r>
        <w:rPr>
          <w:rFonts w:ascii="Times New Roman" w:hAnsi="Times New Roman"/>
          <w:b w:val="false"/>
          <w:i w:val="false"/>
          <w:color w:val="000000"/>
          <w:sz w:val="22"/>
        </w:rPr>
        <w:t>Participation in a chemical dependency treatment program that is licensed by the department of public health or the joint commission on the accreditation of hospitals (JCAH) is considered a valid reason for exemption upon receipt of written verification from the professional staff of the program that participation in the program precludes the individual from working.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98.102(6)</w:t>
      </w:r>
      <w:r>
        <w:rPr>
          <w:rFonts w:ascii="Times New Roman" w:hAnsi="Times New Roman"/>
          <w:b w:val="false"/>
          <w:i w:val="false"/>
          <w:color w:val="000000"/>
          <w:sz w:val="22"/>
        </w:rPr>
        <w:t> </w:t>
      </w:r>
      <w:r>
        <w:rPr>
          <w:rFonts w:ascii="Times New Roman" w:hAnsi="Times New Roman"/>
          <w:b w:val="false"/>
          <w:i/>
          <w:color w:val="000000"/>
          <w:sz w:val="22"/>
        </w:rPr>
        <w:t xml:space="preserve">Contempt process. </w:t>
      </w:r>
      <w:r>
        <w:rPr>
          <w:rFonts w:ascii="Times New Roman" w:hAnsi="Times New Roman"/>
          <w:b w:val="false"/>
          <w:i w:val="false"/>
          <w:color w:val="000000"/>
          <w:sz w:val="22"/>
        </w:rPr>
        <w:t>Involvement in a contempt action dealing with support issues is considered a valid reason for exemption from the license sanction process during the pendency of the contempt action.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6855C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98.102.pdf" Type="http://schemas.openxmlformats.org/officeDocument/2006/relationships/hyperlink" Id="rId4"/>
    <Relationship TargetMode="External" Target="https://www.legis.iowa.gov/docs/iac/rule/441.98.102.pdf" Type="http://schemas.openxmlformats.org/officeDocument/2006/relationships/hyperlink" Id="rId5"/>
    <Relationship TargetMode="External" Target="https://www.legis.iowa.gov/docs/iac/rule/441.98.102.pdf" Type="http://schemas.openxmlformats.org/officeDocument/2006/relationships/hyperlink" Id="rId6"/>
    <Relationship TargetMode="External" Target="https://www.legis.iowa.gov/docs/iac/rule/441.98.102.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