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441—98.101</w:t>
      </w:r>
      <w:r>
        <w:rPr>
          <w:rFonts w:ascii="Times New Roman" w:hAnsi="Times New Roman"/>
          <w:b/>
          <w:i w:val="false"/>
          <w:color w:val="000000"/>
          <w:sz w:val="22"/>
        </w:rPr>
        <w:t xml:space="preserve">(252J) </w:t>
      </w:r>
      <w:r>
        <w:rPr>
          <w:rFonts w:ascii="Times New Roman" w:hAnsi="Times New Roman"/>
          <w:b/>
          <w:i w:val="false"/>
          <w:color w:val="000000"/>
          <w:sz w:val="22"/>
        </w:rPr>
        <w:t xml:space="preserve">Referral for license sanction. </w:t>
      </w:r>
      <w:r>
        <w:rPr>
          <w:rFonts w:ascii="Times New Roman" w:hAnsi="Times New Roman"/>
          <w:b w:val="false"/>
          <w:i w:val="false"/>
          <w:color w:val="000000"/>
          <w:sz w:val="22"/>
        </w:rPr>
        <w:t>In the process referred to as license sanction, the child support recovery unit (CSRU) may refer an individual to a licensing agency for the suspension, revocation, nonissuance, or nonrenewal of a variety of licenses including, but not limited to, motor vehicle registrations, driver’s licenses, business and professional licenses, and licenses for hunting, fishing, boating, or other recreational activity. In order to be referred to a licensing agency for license sanction, one of the following must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98.101(1)</w:t>
      </w:r>
      <w:r>
        <w:rPr>
          <w:rFonts w:ascii="Times New Roman" w:hAnsi="Times New Roman"/>
          <w:b w:val="false"/>
          <w:i w:val="false"/>
          <w:color w:val="000000"/>
          <w:sz w:val="22"/>
        </w:rPr>
        <w:t> </w:t>
      </w:r>
      <w:r>
        <w:rPr>
          <w:rFonts w:ascii="Times New Roman" w:hAnsi="Times New Roman"/>
          <w:b w:val="false"/>
          <w:i/>
          <w:color w:val="000000"/>
          <w:sz w:val="22"/>
        </w:rPr>
        <w:t xml:space="preserve">Delinquent support payments. </w:t>
      </w:r>
      <w:r>
        <w:rPr>
          <w:rFonts w:ascii="Times New Roman" w:hAnsi="Times New Roman"/>
          <w:b w:val="false"/>
          <w:i w:val="false"/>
          <w:color w:val="000000"/>
          <w:sz w:val="22"/>
        </w:rPr>
        <w:t>An obligor’s support payments must be delinquent in an amount equal to the support payment for three months. CSRU may first refer for license sanction those obligors having the greatest number of months of support delinquency. CSRU shall not refer obligors whose support payments are being made under an income withholding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98.101(2)</w:t>
      </w:r>
      <w:r>
        <w:rPr>
          <w:rFonts w:ascii="Times New Roman" w:hAnsi="Times New Roman"/>
          <w:b w:val="false"/>
          <w:i w:val="false"/>
          <w:color w:val="000000"/>
          <w:sz w:val="22"/>
        </w:rPr>
        <w:t> </w:t>
      </w:r>
      <w:r>
        <w:rPr>
          <w:rFonts w:ascii="Times New Roman" w:hAnsi="Times New Roman"/>
          <w:b w:val="false"/>
          <w:i/>
          <w:color w:val="000000"/>
          <w:sz w:val="22"/>
        </w:rPr>
        <w:t xml:space="preserve">Subpoena or warrant. </w:t>
      </w:r>
      <w:r>
        <w:rPr>
          <w:rFonts w:ascii="Times New Roman" w:hAnsi="Times New Roman"/>
          <w:b w:val="false"/>
          <w:i w:val="false"/>
          <w:color w:val="000000"/>
          <w:sz w:val="22"/>
        </w:rPr>
        <w:t xml:space="preserve">An individual must have failed to comply with a subpoena or warrant, as defined in Iowa Code chapter </w:t>
      </w:r>
      <w:hyperlink r:id="rId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relating to a paternity or support proceeding. If a subpoena was issued, the individual must have failed to comply with either Form 470-3413 or an Interstate Subpoena as provided in subrule </w:t>
      </w:r>
      <w:hyperlink r:id="rId5">
        <w:r>
          <w:rPr>
            <w:rStyle w:val="Hyperlink"/>
            <w:rFonts w:ascii="Times New Roman" w:hAnsi="Times New Roman"/>
            <w:b w:val="false"/>
            <w:i w:val="false"/>
            <w:color w:val="000000"/>
            <w:sz w:val="22"/>
          </w:rPr>
          <w:t>96.2(1)</w:t>
        </w:r>
      </w:hyperlink>
      <w:r>
        <w:rPr>
          <w:rFonts w:ascii="Times New Roman" w:hAnsi="Times New Roman"/>
          <w:b w:val="false"/>
          <w:i w:val="false"/>
          <w:color w:val="000000"/>
          <w:sz w:val="22"/>
        </w:rPr>
        <w:t xml:space="preserve"> within 15 days of the issuance of the subpoena, and proof of service of the subpoena was completed according to Rule of Civil Procedure 1.442.</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J.pdf" Type="http://schemas.openxmlformats.org/officeDocument/2006/relationships/hyperlink" Id="rId4"/>
    <Relationship TargetMode="External" Target="https://www.legis.iowa.gov/docs/iac/rule/441.96.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