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441—97.4</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of payment. </w:t>
      </w:r>
      <w:r>
        <w:rPr>
          <w:rFonts w:ascii="Times New Roman" w:hAnsi="Times New Roman"/>
          <w:b w:val="false"/>
          <w:i w:val="false"/>
          <w:color w:val="000000"/>
          <w:sz w:val="22"/>
        </w:rPr>
        <w:t>Payments shall be accepted in specific forms from obligors and payors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color w:val="000000"/>
          <w:sz w:val="22"/>
        </w:rPr>
        <w:t xml:space="preserve">Form of payment. </w:t>
      </w:r>
      <w:r>
        <w:rPr>
          <w:rFonts w:ascii="Times New Roman" w:hAnsi="Times New Roman"/>
          <w:b w:val="false"/>
          <w:i w:val="false"/>
          <w:color w:val="000000"/>
          <w:sz w:val="22"/>
        </w:rPr>
        <w:t xml:space="preserve">Except as otherwise provided in this rule and in rule </w:t>
      </w:r>
      <w:hyperlink r:id="rId4">
        <w:r>
          <w:rPr>
            <w:rStyle w:val="Hyperlink"/>
            <w:rFonts w:ascii="Times New Roman" w:hAnsi="Times New Roman"/>
            <w:b w:val="false"/>
            <w:i w:val="false"/>
            <w:color w:val="000000"/>
            <w:sz w:val="22"/>
          </w:rPr>
          <w:t>441—97.5</w:t>
        </w:r>
      </w:hyperlink>
      <w:r>
        <w:rPr>
          <w:rFonts w:ascii="Times New Roman" w:hAnsi="Times New Roman"/>
          <w:b w:val="false"/>
          <w:i w:val="false"/>
          <w:color w:val="000000"/>
          <w:sz w:val="22"/>
        </w:rPr>
        <w:t>(252D), support payments may be paid in the form of cash, check, bank draft, money order, preauthorized withdrawal of funds, or other financial instrument, and sent by mail to the collection services center, or by electronic transmission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color w:val="000000"/>
          <w:sz w:val="22"/>
        </w:rPr>
        <w:t xml:space="preserve">Treatment of insufficient funds payments. </w:t>
      </w:r>
      <w:r>
        <w:rPr>
          <w:rFonts w:ascii="Times New Roman" w:hAnsi="Times New Roman"/>
          <w:b w:val="false"/>
          <w:i w:val="false"/>
          <w:color w:val="000000"/>
          <w:sz w:val="22"/>
        </w:rPr>
        <w:t>The unit shall have a process in place to handle insufficient funds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obligor submitting an insufficient funds support payment to the collection services center shall be required to submit payments by cash, bank draft, or money order for a period of up to 12 months unless waived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payor of income submitting an insufficient funds support payment to the collection services center shall be required to submit payments through electronic funds transmission, cash, bank draft, or money order for a period of up to 12 months unless waived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Insufficient funds payments shall not be credited to the collection services center account for the obligor or shall be removed from the account if credited before sufficiency was verified. Insufficient funds support payments shall be subject to additional collection by the collection services center for the dishonored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shall not process additional payments other than cash, bank drafts or money orders from an obligor or payor of income who has previously submitted insufficient funds payments without first verifying the payment. The collection services center shall have a process in place to allow the obligor or the payor of income the opportunity to replace any additional moneys submitted for payment of support before processing in order to avoid additional insufficient funds entries into the official payment records on the affected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97.4(3)</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payment. </w:t>
      </w:r>
      <w:r>
        <w:rPr>
          <w:rFonts w:ascii="Times New Roman" w:hAnsi="Times New Roman"/>
          <w:b w:val="false"/>
          <w:i w:val="false"/>
          <w:color w:val="000000"/>
          <w:sz w:val="22"/>
        </w:rPr>
        <w:t>Nonincome withholding support payments received by the collection services center in IV-D, former IV-D, non-IV-D, or correlated non-IV-D cases which are not directed to a specific account or support obligation shall first be applied proportionately to the current support obligation on all cases for the obligor and, secondly, to the support arrearages owed by the obligor.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9351B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7.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