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441—97.2</w:t>
      </w:r>
      <w:r>
        <w:rPr>
          <w:rFonts w:ascii="Times New Roman" w:hAnsi="Times New Roman"/>
          <w:b/>
          <w:i w:val="false"/>
          <w:color w:val="000000"/>
          <w:sz w:val="22"/>
        </w:rPr>
        <w:t xml:space="preserve">(252B) </w:t>
      </w:r>
      <w:r>
        <w:rPr>
          <w:rFonts w:ascii="Times New Roman" w:hAnsi="Times New Roman"/>
          <w:b/>
          <w:i w:val="false"/>
          <w:color w:val="000000"/>
          <w:sz w:val="22"/>
        </w:rPr>
        <w:t xml:space="preserve">Transfer of records and payments. </w:t>
      </w:r>
      <w:r>
        <w:rPr>
          <w:rFonts w:ascii="Times New Roman" w:hAnsi="Times New Roman"/>
          <w:b w:val="false"/>
          <w:i w:val="false"/>
          <w:color w:val="000000"/>
          <w:sz w:val="22"/>
        </w:rPr>
        <w:t xml:space="preserve">For non-IV-D cases, the clerk of court shall provide core case information to the unit upon the filing of a new income withholding order or upon the request of the unit. “Core case information” means information listed in paragraphs </w:t>
      </w:r>
      <w:hyperlink r:id="rId4">
        <w:r>
          <w:rPr>
            <w:rStyle w:val="Hyperlink"/>
            <w:rFonts w:ascii="Times New Roman" w:hAnsi="Times New Roman"/>
            <w:b w:val="false"/>
            <w:i w:val="false"/>
            <w:color w:val="000000"/>
            <w:sz w:val="22"/>
          </w:rPr>
          <w:t>97.2(1)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subrule </w:t>
      </w:r>
      <w:hyperlink r:id="rId6">
        <w:r>
          <w:rPr>
            <w:rStyle w:val="Hyperlink"/>
            <w:rFonts w:ascii="Times New Roman" w:hAnsi="Times New Roman"/>
            <w:b w:val="false"/>
            <w:i w:val="false"/>
            <w:color w:val="000000"/>
            <w:sz w:val="22"/>
          </w:rPr>
          <w:t>97.2(2)</w:t>
        </w:r>
      </w:hyperlink>
      <w:r>
        <w:rPr>
          <w:rFonts w:ascii="Times New Roman" w:hAnsi="Times New Roman"/>
          <w:b w:val="false"/>
          <w:i w:val="false"/>
          <w:color w:val="000000"/>
          <w:sz w:val="22"/>
        </w:rPr>
        <w:t>. For IV-D and correlated non-IV-D cases, the clerk of court shall provide detailed case information to the unit upon request. After the establishment of a case, the unit shall send notices of transfer to obligors and obligees based upon case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non-IV-D and correlated non-IV-D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non-IV-D cases, the unit shall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correlated non-IV-D cases, the unit shall request the following information necessary for the receipt, recording and disbursement of payments from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obligor’s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obligee’s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court order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income withholding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clerk of the district court shall provide case information to the unit on a regular basis when an income withholding order is filed with a clerk of court or when the unit requests the information in order to process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unit shall automatically create cases for payment processing based upon the information received from the clerks of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color w:val="000000"/>
          <w:sz w:val="22"/>
        </w:rPr>
        <w:t xml:space="preserve">Transfer of information on IV-D cases. </w:t>
      </w:r>
      <w:r>
        <w:rPr>
          <w:rFonts w:ascii="Times New Roman" w:hAnsi="Times New Roman"/>
          <w:b w:val="false"/>
          <w:i w:val="false"/>
          <w:color w:val="000000"/>
          <w:sz w:val="22"/>
        </w:rPr>
        <w:t>In IV-D cases, the clerk of district court shall provide the unit with the following information if the information has been provided to the clerk upon request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obligee’s name, date of birth, last-known mailing address, the social security number if known and, if different in whole or part, the names of the persons to whom the obligation of support is owed by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birth date, social security number, and last-known mailing address of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all support orders that establish or modify a support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social security numbers, and dates of birth of any minor dependents for whom support is ordered,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any support payments received by the clerk of district court prior to the transfer of case information and any payments received by the collection services center and the date of transfer to the collection services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record of any determination of controlling order under the Uniform Interstate Family Support Act.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6780C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7.2.pdf" Type="http://schemas.openxmlformats.org/officeDocument/2006/relationships/hyperlink" Id="rId4"/>
    <Relationship TargetMode="External" Target="https://www.legis.iowa.gov/docs/iac/rule/441.97.2.pdf" Type="http://schemas.openxmlformats.org/officeDocument/2006/relationships/hyperlink" Id="rId5"/>
    <Relationship TargetMode="External" Target="https://www.legis.iowa.gov/docs/iac/rule/441.97.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