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441—96.4</w:t>
      </w:r>
      <w:r>
        <w:rPr>
          <w:rFonts w:ascii="Times New Roman" w:hAnsi="Times New Roman"/>
          <w:b/>
          <w:i w:val="false"/>
          <w:color w:val="000000"/>
          <w:sz w:val="22"/>
        </w:rPr>
        <w:t xml:space="preserve">(252B) </w:t>
      </w:r>
      <w:r>
        <w:rPr>
          <w:rFonts w:ascii="Times New Roman" w:hAnsi="Times New Roman"/>
          <w:b/>
          <w:i w:val="false"/>
          <w:color w:val="000000"/>
          <w:sz w:val="22"/>
        </w:rPr>
        <w:t xml:space="preserve">Conference conducted.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color w:val="000000"/>
          <w:sz w:val="22"/>
        </w:rPr>
        <w:t xml:space="preserve">Request or subpoena issued by CSRU. </w:t>
      </w:r>
      <w:r>
        <w:rPr>
          <w:rFonts w:ascii="Times New Roman" w:hAnsi="Times New Roman"/>
          <w:b w:val="false"/>
          <w:i w:val="false"/>
          <w:color w:val="000000"/>
          <w:sz w:val="22"/>
        </w:rPr>
        <w:t>If the child support recovery unit issued the request or subpoena, the unit shall notify the person or entity and conduct a conference within ten days of receipt of the request for a conference. At the request of either the unit or the person or entity, the conference may be rescheduled one time. The conference may be conducted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color w:val="000000"/>
          <w:sz w:val="22"/>
        </w:rPr>
        <w:t xml:space="preserve">Request or subpoena issued by other state. </w:t>
      </w:r>
      <w:r>
        <w:rPr>
          <w:rFonts w:ascii="Times New Roman" w:hAnsi="Times New Roman"/>
          <w:b w:val="false"/>
          <w:i w:val="false"/>
          <w:color w:val="000000"/>
          <w:sz w:val="22"/>
        </w:rPr>
        <w:t xml:space="preserve">If a conference with the child support recovery unit is requested based upon a request or subpoena issued by a child support agency of another state, the bureau chief, as defined at rule </w:t>
      </w:r>
      <w:hyperlink r:id="rId4">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 shall request that agency send an interstate referral and appropriate information to the unit or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support recovery unit shall notify the person or entity and conduct a conference within ten days of opening a case based upon an interstate referral and appropriate information. If the child support recovery unit does not receive an interstate referral and appropriate information within 60 days of the bureau chief’s request, the request or subpoena received under subrule </w:t>
      </w:r>
      <w:hyperlink r:id="rId5">
        <w:r>
          <w:rPr>
            <w:rStyle w:val="Hyperlink"/>
            <w:rFonts w:ascii="Times New Roman" w:hAnsi="Times New Roman"/>
            <w:b w:val="false"/>
            <w:i w:val="false"/>
            <w:color w:val="000000"/>
            <w:sz w:val="22"/>
          </w:rPr>
          <w:t>96.1(3)</w:t>
        </w:r>
      </w:hyperlink>
      <w:r>
        <w:rPr>
          <w:rFonts w:ascii="Times New Roman" w:hAnsi="Times New Roman"/>
          <w:b w:val="false"/>
          <w:i w:val="false"/>
          <w:color w:val="000000"/>
          <w:sz w:val="22"/>
        </w:rPr>
        <w:t xml:space="preserve"> shall be void, and the child support recovery unit shall notify the person or entity it is void.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voiding of a request or subpoena under this subrule shall not prevent the issuance of subsequent requests or subpoenas.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information. </w:t>
      </w:r>
      <w:r>
        <w:rPr>
          <w:rFonts w:ascii="Times New Roman" w:hAnsi="Times New Roman"/>
          <w:b w:val="false"/>
          <w:i w:val="false"/>
          <w:color w:val="000000"/>
          <w:sz w:val="22"/>
        </w:rPr>
        <w:t>On or before the conference date, the person or entity shall submit information to the child support recovery unit which demonstrates a mistake in the identity of the person or entity, or a mistake in the identity of the individual who is the subject of the request or subpoena, or which demonstrates a specific prohibition under federal law to release of the information or records. The child support recovery unit may extend the time to conduct the conference an additional ten days to allow time for the person or entity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96.4(4)</w:t>
      </w:r>
      <w:r>
        <w:rPr>
          <w:rFonts w:ascii="Times New Roman" w:hAnsi="Times New Roman"/>
          <w:b w:val="false"/>
          <w:i w:val="false"/>
          <w:color w:val="000000"/>
          <w:sz w:val="22"/>
        </w:rPr>
        <w:t> </w:t>
      </w:r>
      <w:r>
        <w:rPr>
          <w:rFonts w:ascii="Times New Roman" w:hAnsi="Times New Roman"/>
          <w:b w:val="false"/>
          <w:i/>
          <w:color w:val="000000"/>
          <w:sz w:val="22"/>
        </w:rPr>
        <w:t xml:space="preserve">Notice of findings. </w:t>
      </w:r>
      <w:r>
        <w:rPr>
          <w:rFonts w:ascii="Times New Roman" w:hAnsi="Times New Roman"/>
          <w:b w:val="false"/>
          <w:i w:val="false"/>
          <w:color w:val="000000"/>
          <w:sz w:val="22"/>
        </w:rPr>
        <w:t xml:space="preserve">Following the conference, the unit shall issue a notice as provided in Iowa Code section </w:t>
      </w:r>
      <w:hyperlink r:id="rId6">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5.1.pdf" Type="http://schemas.openxmlformats.org/officeDocument/2006/relationships/hyperlink" Id="rId4"/>
    <Relationship TargetMode="External" Target="https://www.legis.iowa.gov/docs/iac/rule/441.96.1.pdf" Type="http://schemas.openxmlformats.org/officeDocument/2006/relationships/hyperlink" Id="rId5"/>
    <Relationship TargetMode="External" Target="https://www.legis.iowa.gov/docs/ico/chapter/252B.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