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441—96.3</w:t>
      </w:r>
      <w:r>
        <w:rPr>
          <w:rFonts w:ascii="Times New Roman" w:hAnsi="Times New Roman"/>
          <w:b/>
          <w:i w:val="false"/>
          <w:color w:val="000000"/>
          <w:sz w:val="22"/>
        </w:rPr>
        <w:t xml:space="preserve">(252B) </w:t>
      </w:r>
      <w:r>
        <w:rPr>
          <w:rFonts w:ascii="Times New Roman" w:hAnsi="Times New Roman"/>
          <w:b/>
          <w:i w:val="false"/>
          <w:color w:val="000000"/>
          <w:sz w:val="22"/>
        </w:rPr>
        <w:t xml:space="preserve">Procedure for refusal.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96.3(1)</w:t>
      </w:r>
      <w:r>
        <w:rPr>
          <w:rFonts w:ascii="Times New Roman" w:hAnsi="Times New Roman"/>
          <w:b w:val="false"/>
          <w:i w:val="false"/>
          <w:color w:val="000000"/>
          <w:sz w:val="22"/>
        </w:rPr>
        <w:t> </w:t>
      </w:r>
      <w:r>
        <w:rPr>
          <w:rFonts w:ascii="Times New Roman" w:hAnsi="Times New Roman"/>
          <w:b w:val="false"/>
          <w:i/>
          <w:color w:val="000000"/>
          <w:sz w:val="22"/>
        </w:rPr>
        <w:t xml:space="preserve">No information. </w:t>
      </w:r>
      <w:r>
        <w:rPr>
          <w:rFonts w:ascii="Times New Roman" w:hAnsi="Times New Roman"/>
          <w:b w:val="false"/>
          <w:i w:val="false"/>
          <w:color w:val="000000"/>
          <w:sz w:val="22"/>
        </w:rPr>
        <w:t>A person or entity who does not have any information or records requested or subpoenaed shall respond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request or subpoena is a form from the child support recovery unit under paragraph </w:t>
      </w:r>
      <w:hyperlink r:id="rId4">
        <w:r>
          <w:rPr>
            <w:rStyle w:val="Hyperlink"/>
            <w:rFonts w:ascii="Times New Roman" w:hAnsi="Times New Roman"/>
            <w:b w:val="false"/>
            <w:i w:val="false"/>
            <w:color w:val="000000"/>
            <w:sz w:val="22"/>
          </w:rPr>
          <w:t>96.1(3)</w:t>
        </w:r>
        <w:r>
          <w:rPr>
            <w:rFonts w:ascii="Times New Roman" w:hAnsi="Times New Roman"/>
            <w:b w:val="false"/>
            <w:i/>
            <w:color w:val="000000"/>
            <w:sz w:val="22"/>
          </w:rPr>
          <w:t>“a”</w:t>
        </w:r>
      </w:hyperlink>
      <w:r>
        <w:rPr>
          <w:rFonts w:ascii="Times New Roman" w:hAnsi="Times New Roman"/>
          <w:b w:val="false"/>
          <w:i w:val="false"/>
          <w:color w:val="000000"/>
          <w:sz w:val="22"/>
        </w:rPr>
        <w:t xml:space="preserve"> or </w:t>
      </w:r>
      <w:hyperlink r:id="rId5">
        <w:r>
          <w:rPr>
            <w:rStyle w:val="Hyperlink"/>
            <w:rFonts w:ascii="Times New Roman" w:hAnsi="Times New Roman"/>
            <w:b w:val="false"/>
            <w:i w:val="false"/>
            <w:color w:val="000000"/>
            <w:sz w:val="22"/>
          </w:rPr>
          <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person or entity shall sign and return to the unit the appropriate portion of the form indicating the lack of information or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request or subpoena is one listed in paragraphs </w:t>
      </w:r>
      <w:hyperlink r:id="rId6">
        <w:r>
          <w:rPr>
            <w:rStyle w:val="Hyperlink"/>
            <w:rFonts w:ascii="Times New Roman" w:hAnsi="Times New Roman"/>
            <w:b w:val="false"/>
            <w:i w:val="false"/>
            <w:color w:val="000000"/>
            <w:sz w:val="22"/>
          </w:rPr>
          <w:t>96.1(3)</w:t>
        </w:r>
        <w:r>
          <w:rPr>
            <w:rFonts w:ascii="Times New Roman" w:hAnsi="Times New Roman"/>
            <w:b w:val="false"/>
            <w:i/>
            <w:color w:val="000000"/>
            <w:sz w:val="22"/>
          </w:rPr>
          <w:t>“c”</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person or entity shall send the child support agency of the other state a signed and dated written statement indicating the lack of information or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96.3(2)</w:t>
      </w:r>
      <w:r>
        <w:rPr>
          <w:rFonts w:ascii="Times New Roman" w:hAnsi="Times New Roman"/>
          <w:b w:val="false"/>
          <w:i w:val="false"/>
          <w:color w:val="000000"/>
          <w:sz w:val="22"/>
        </w:rPr>
        <w:t> </w:t>
      </w:r>
      <w:r>
        <w:rPr>
          <w:rFonts w:ascii="Times New Roman" w:hAnsi="Times New Roman"/>
          <w:b w:val="false"/>
          <w:i/>
          <w:color w:val="000000"/>
          <w:sz w:val="22"/>
        </w:rPr>
        <w:t xml:space="preserve">Good cause. </w:t>
      </w:r>
      <w:r>
        <w:rPr>
          <w:rFonts w:ascii="Times New Roman" w:hAnsi="Times New Roman"/>
          <w:b w:val="false"/>
          <w:i w:val="false"/>
          <w:color w:val="000000"/>
          <w:sz w:val="22"/>
        </w:rPr>
        <w:t xml:space="preserve">The person or entity may claim good cause for refusing to comply as required in Iowa Code section </w:t>
      </w:r>
      <w:hyperlink r:id="rId8">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claim good cause, the person or entity shall file a request for a conference by mailing or submitting a written request to the child support recovery unit which issued the request or subpoena within 15 days of the issuance of the request or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child support agency of another state issued the request or subpoena, the person or entity may request a conference with the child support recovery unit or with the child support agency of the other state. The person or entity shall request a conference with the child support recovery unit by mailing or submitting a written request and a copy of the subpoena or document received from the child support agency of the other state to the Iowa Department of Human Services, Bureau of Collections, Central Registry, P.O. Box 9136, Des Moines, Iowa 50306-9136. The person or entity shall request a conference with the child support agency of the other state by following the requirements of that state’s laws and regulations.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6779C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6.1.pdf" Type="http://schemas.openxmlformats.org/officeDocument/2006/relationships/hyperlink" Id="rId4"/>
    <Relationship TargetMode="External" Target="https://www.legis.iowa.gov/docs/iac/rule/441.96.1.pdf" Type="http://schemas.openxmlformats.org/officeDocument/2006/relationships/hyperlink" Id="rId5"/>
    <Relationship TargetMode="External" Target="https://www.legis.iowa.gov/docs/iac/rule/441.96.1.pdf" Type="http://schemas.openxmlformats.org/officeDocument/2006/relationships/hyperlink" Id="rId6"/>
    <Relationship TargetMode="External" Target="https://www.legis.iowa.gov/docs/iac/rule/441.96.1.pdf" Type="http://schemas.openxmlformats.org/officeDocument/2006/relationships/hyperlink" Id="rId7"/>
    <Relationship TargetMode="External" Target="https://www.legis.iowa.gov/docs/ico/chapter/252B.9.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