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441—96.1</w:t>
      </w:r>
      <w:r>
        <w:rPr>
          <w:rFonts w:ascii="Times New Roman" w:hAnsi="Times New Roman"/>
          <w:b/>
          <w:i w:val="false"/>
          <w:color w:val="000000"/>
          <w:sz w:val="22"/>
        </w:rPr>
        <w:t xml:space="preserve">(252B) </w:t>
      </w:r>
      <w:r>
        <w:rPr>
          <w:rFonts w:ascii="Times New Roman" w:hAnsi="Times New Roman"/>
          <w:b/>
          <w:i w:val="false"/>
          <w:color w:val="000000"/>
          <w:sz w:val="22"/>
        </w:rPr>
        <w:t xml:space="preserve">Access to information and records from other sources. </w:t>
      </w:r>
      <w:r>
        <w:rPr>
          <w:rFonts w:ascii="Times New Roman" w:hAnsi="Times New Roman"/>
          <w:b w:val="false"/>
          <w:i w:val="false"/>
          <w:color w:val="000000"/>
          <w:sz w:val="22"/>
        </w:rPr>
        <w:t>In addition to statutes and other rules, the following entities shall provide information and records based on the following methods of requesting the information and within the following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Oral or written request. </w:t>
      </w:r>
      <w:r>
        <w:rPr>
          <w:rFonts w:ascii="Times New Roman" w:hAnsi="Times New Roman"/>
          <w:b w:val="false"/>
          <w:i w:val="false"/>
          <w:color w:val="000000"/>
          <w:sz w:val="22"/>
        </w:rPr>
        <w:t xml:space="preserve">All persons and entities, including all for-profit, nonprofit, and governmental employers, shall, within 15 days of receipt of a request, provide the child support recovery unit or a child support agency of another state information on the employment, compensation, and benefits of any individual employed by the person or entity as an employee or contractor if the unit or agency is providing services in relation to that individual. The request may be made orally, by letter, by form or by other written request listed in subrule </w:t>
      </w:r>
      <w:hyperlink r:id="rId4">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 however, the fine and procedures described in rules 441—</w:t>
      </w:r>
      <w:hyperlink r:id="rId5">
        <w:r>
          <w:rPr>
            <w:rStyle w:val="Hyperlink"/>
            <w:rFonts w:ascii="Times New Roman" w:hAnsi="Times New Roman"/>
            <w:b w:val="false"/>
            <w:i w:val="false"/>
            <w:color w:val="000000"/>
            <w:sz w:val="22"/>
          </w:rPr>
          <w:t>96.2</w:t>
        </w:r>
      </w:hyperlink>
      <w:r>
        <w:rPr>
          <w:rFonts w:ascii="Times New Roman" w:hAnsi="Times New Roman"/>
          <w:b w:val="false"/>
          <w:i w:val="false"/>
          <w:color w:val="000000"/>
          <w:sz w:val="22"/>
        </w:rPr>
        <w:t>(252B) to 441—</w:t>
      </w:r>
      <w:hyperlink r:id="rId6">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 xml:space="preserve">(252B) only apply if the request was by a written request listed in subrule </w:t>
      </w:r>
      <w:hyperlink r:id="rId7">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 xml:space="preserve">All persons and entities shall comply with a Child Support Recovery Unit Subpoena, Form 470-3413, issued by the child support recovery unit, or an Administrative Subpoena, OMB Control # 0970-0152, or its successor, issued by the unit or a child support agency of another state, as provided in Iowa Code section </w:t>
      </w:r>
      <w:hyperlink r:id="rId8">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The child support recovery unit or a child support agency of another state may issue a subpoena regarding more than one individual. The person or entity shall provide the information and records as directed in Form 470-3413 or the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Time to reply to a written request. </w:t>
      </w:r>
      <w:r>
        <w:rPr>
          <w:rFonts w:ascii="Times New Roman" w:hAnsi="Times New Roman"/>
          <w:b w:val="false"/>
          <w:i w:val="false"/>
          <w:color w:val="000000"/>
          <w:sz w:val="22"/>
        </w:rPr>
        <w:t>A person or entity who is sent any of the following shall provide the information and records requested in the manner requested to the child support recovery unit or child support agency of another state, as appropriate, within 15 days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470-0177M, Employment and Health Insurance Questionnaire, or other forms as specified in appropriate rules from the child support recovery unit which request information described at subrule </w:t>
      </w:r>
      <w:hyperlink r:id="rId9">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470-3413, Child Support Recovery Unit Subpoena, or an Administrative Subpoena, OMB Control # 0970-0152, or its successor, as provided at subrule </w:t>
      </w:r>
      <w:hyperlink r:id="rId10">
        <w:r>
          <w:rPr>
            <w:rStyle w:val="Hyperlink"/>
            <w:rFonts w:ascii="Times New Roman" w:hAnsi="Times New Roman"/>
            <w:b w:val="false"/>
            <w:i w:val="false"/>
            <w:color w:val="000000"/>
            <w:sz w:val="22"/>
          </w:rPr>
          <w:t>96.1(2)</w:t>
        </w:r>
      </w:hyperlink>
      <w:r>
        <w:rPr>
          <w:rFonts w:ascii="Times New Roman" w:hAnsi="Times New Roman"/>
          <w:b w:val="false"/>
          <w:i w:val="false"/>
          <w:color w:val="000000"/>
          <w:sz w:val="22"/>
        </w:rPr>
        <w:t>,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or form as provided at subrule </w:t>
      </w:r>
      <w:hyperlink r:id="rId11">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 xml:space="preserve"> from a child support agency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Subpoena, OMB Control # 0970-0152, or its successor, as provided at subrule </w:t>
      </w:r>
      <w:hyperlink r:id="rId12">
        <w:r>
          <w:rPr>
            <w:rStyle w:val="Hyperlink"/>
            <w:rFonts w:ascii="Times New Roman" w:hAnsi="Times New Roman"/>
            <w:b w:val="false"/>
            <w:i w:val="false"/>
            <w:color w:val="000000"/>
            <w:sz w:val="22"/>
          </w:rPr>
          <w:t>96.1(2)</w:t>
        </w:r>
      </w:hyperlink>
      <w:r>
        <w:rPr>
          <w:rFonts w:ascii="Times New Roman" w:hAnsi="Times New Roman"/>
          <w:b w:val="false"/>
          <w:i w:val="false"/>
          <w:color w:val="000000"/>
          <w:sz w:val="22"/>
        </w:rPr>
        <w:t>, from a child support agency of another state.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6779C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6.1.pdf" Type="http://schemas.openxmlformats.org/officeDocument/2006/relationships/hyperlink" Id="rId4"/>
    <Relationship TargetMode="External" Target="https://www.legis.iowa.gov/docs/iac/rule/441.96.2.pdf" Type="http://schemas.openxmlformats.org/officeDocument/2006/relationships/hyperlink" Id="rId5"/>
    <Relationship TargetMode="External" Target="https://www.legis.iowa.gov/docs/iac/rule/441.96.6.pdf" Type="http://schemas.openxmlformats.org/officeDocument/2006/relationships/hyperlink" Id="rId6"/>
    <Relationship TargetMode="External" Target="https://www.legis.iowa.gov/docs/iac/rule/441.96.1.pdf" Type="http://schemas.openxmlformats.org/officeDocument/2006/relationships/hyperlink" Id="rId7"/>
    <Relationship TargetMode="External" Target="https://www.legis.iowa.gov/docs/ico/chapter/252B.9.pdf" Type="http://schemas.openxmlformats.org/officeDocument/2006/relationships/hyperlink" Id="rId8"/>
    <Relationship TargetMode="External" Target="https://www.legis.iowa.gov/docs/iac/rule/441.96.1.pdf" Type="http://schemas.openxmlformats.org/officeDocument/2006/relationships/hyperlink" Id="rId9"/>
    <Relationship TargetMode="External" Target="https://www.legis.iowa.gov/docs/iac/rule/441.96.1.pdf" Type="http://schemas.openxmlformats.org/officeDocument/2006/relationships/hyperlink" Id="rId10"/>
    <Relationship TargetMode="External" Target="https://www.legis.iowa.gov/docs/iac/rule/441.96.1.pdf" Type="http://schemas.openxmlformats.org/officeDocument/2006/relationships/hyperlink" Id="rId11"/>
    <Relationship TargetMode="External" Target="https://www.legis.iowa.gov/docs/iac/rule/441.96.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