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441—95.5</w:t>
      </w:r>
      <w:r>
        <w:rPr>
          <w:rFonts w:ascii="Times New Roman" w:hAnsi="Times New Roman"/>
          <w:b/>
          <w:i w:val="false"/>
          <w:color w:val="000000"/>
          <w:sz w:val="22"/>
        </w:rPr>
        <w:t xml:space="preserve">(252B) </w:t>
      </w:r>
      <w:r>
        <w:rPr>
          <w:rFonts w:ascii="Times New Roman" w:hAnsi="Times New Roman"/>
          <w:b/>
          <w:i w:val="false"/>
          <w:color w:val="000000"/>
          <w:sz w:val="22"/>
        </w:rPr>
        <w:t xml:space="preserve">Lump sum settlement.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95.5(1)</w:t>
      </w:r>
      <w:r>
        <w:rPr>
          <w:rFonts w:ascii="Times New Roman" w:hAnsi="Times New Roman"/>
          <w:b w:val="false"/>
          <w:i w:val="false"/>
          <w:color w:val="000000"/>
          <w:sz w:val="22"/>
        </w:rPr>
        <w:t> </w:t>
      </w:r>
      <w:r>
        <w:rPr>
          <w:rFonts w:ascii="Times New Roman" w:hAnsi="Times New Roman"/>
          <w:b w:val="false"/>
          <w:i w:val="false"/>
          <w:color w:val="000000"/>
          <w:sz w:val="22"/>
        </w:rPr>
        <w:t xml:space="preserve">Any lump sum settlement of child support involving an assignment of child support payments shall be negotiated in conjunction with the child support recovery unit. The child support recovery unit shall be responsible for the determination of the amount due the department, including any accrued interest on the support debt computed in accordance with Iowa Code section </w:t>
      </w:r>
      <w:hyperlink r:id="rId4">
        <w:r>
          <w:rPr>
            <w:rStyle w:val="Hyperlink"/>
            <w:rFonts w:ascii="Times New Roman" w:hAnsi="Times New Roman"/>
            <w:b w:val="false"/>
            <w:i w:val="false"/>
            <w:color w:val="000000"/>
            <w:sz w:val="22"/>
          </w:rPr>
          <w:t>535.3</w:t>
        </w:r>
      </w:hyperlink>
      <w:r>
        <w:rPr>
          <w:rFonts w:ascii="Times New Roman" w:hAnsi="Times New Roman"/>
          <w:b w:val="false"/>
          <w:i w:val="false"/>
          <w:color w:val="000000"/>
          <w:sz w:val="22"/>
        </w:rPr>
        <w:t xml:space="preserve"> for court judgments. This determination of the amount due shall be made in accordance with Section 302.51, Code of Federal Regulations, Title 45 as amended to September 1, 2022. The bureau chief may waive collection of the accrued interest when negotiating a lump sum settlement of a support debt, if the waiver will facilitate the collection of the support debt.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95.5(2)</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be responsible for the determination of the department’s entitlement to all or any of the lump sum payment in a paternity action.</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5">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5.3.pdf" Type="http://schemas.openxmlformats.org/officeDocument/2006/relationships/hyperlink" Id="rId4"/>
    <Relationship TargetMode="External" Target="https://www.legis.iowa.gov/docs/ico/chapter/252C.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