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441—95.4</w:t>
      </w:r>
      <w:r>
        <w:rPr>
          <w:rFonts w:ascii="Times New Roman" w:hAnsi="Times New Roman"/>
          <w:b/>
          <w:i w:val="false"/>
          <w:color w:val="000000"/>
          <w:sz w:val="22"/>
        </w:rPr>
        <w:t xml:space="preserve">(252B) </w:t>
      </w:r>
      <w:r>
        <w:rPr>
          <w:rFonts w:ascii="Times New Roman" w:hAnsi="Times New Roman"/>
          <w:b/>
          <w:i w:val="false"/>
          <w:color w:val="000000"/>
          <w:sz w:val="22"/>
        </w:rPr>
        <w:t xml:space="preserve">Prepayment of support. </w:t>
      </w:r>
      <w:r>
        <w:rPr>
          <w:rFonts w:ascii="Times New Roman" w:hAnsi="Times New Roman"/>
          <w:b w:val="false"/>
          <w:i w:val="false"/>
          <w:color w:val="000000"/>
          <w:sz w:val="22"/>
        </w:rPr>
        <w:t>Prepayment which is due to the child support obligee shall be sent to the obligee upon receipt by the department, and shall be credited as payment of future months’ support. Prepayment which is due the state shall be distributed as if it were received in the month when due. Support is prepaid when amounts have been collected which fully satisfy the ongoing support obligation for the current month and all past months.</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4">
        <w:r>
          <w:rPr>
            <w:rStyle w:val="Hyperlink"/>
            <w:rFonts w:ascii="Times New Roman" w:hAnsi="Times New Roman"/>
            <w:b w:val="false"/>
            <w:i w:val="false"/>
            <w:color w:val="000000"/>
            <w:sz w:val="22"/>
          </w:rPr>
          <w:t>252B.14</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6778C</w:t>
      </w:r>
      <w:r>
        <w:rPr>
          <w:rFonts w:ascii="Times New Roman" w:hAnsi="Times New Roman"/>
          <w:b w:val="false"/>
          <w:i w:val="false"/>
          <w:color w:val="000000"/>
          <w:sz w:val="16"/>
        </w:rPr>
        <w:t>, IAB 12/28/22, effective 2/1/23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52B.14.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