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441—95.25</w:t>
      </w:r>
      <w:r>
        <w:rPr>
          <w:rFonts w:ascii="Times New Roman" w:hAnsi="Times New Roman"/>
          <w:b/>
          <w:i w:val="false"/>
          <w:color w:val="000000"/>
          <w:sz w:val="22"/>
        </w:rPr>
        <w:t xml:space="preserve">(252B) </w:t>
      </w:r>
      <w:r>
        <w:rPr>
          <w:rFonts w:ascii="Times New Roman" w:hAnsi="Times New Roman"/>
          <w:b/>
          <w:i w:val="false"/>
          <w:color w:val="000000"/>
          <w:sz w:val="22"/>
        </w:rPr>
        <w:t xml:space="preserve">Emancipation verification. </w:t>
      </w:r>
      <w:r>
        <w:rPr>
          <w:rFonts w:ascii="Times New Roman" w:hAnsi="Times New Roman"/>
          <w:b w:val="false"/>
          <w:i w:val="false"/>
          <w:color w:val="000000"/>
          <w:sz w:val="22"/>
        </w:rPr>
        <w:t>The child support recovery unit (CSRU) may verify whether a child will emancipate according to the provisions established in the court order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95.25(1)</w:t>
      </w:r>
      <w:r>
        <w:rPr>
          <w:rFonts w:ascii="Times New Roman" w:hAnsi="Times New Roman"/>
          <w:b w:val="false"/>
          <w:i w:val="false"/>
          <w:color w:val="000000"/>
          <w:sz w:val="22"/>
        </w:rPr>
        <w:t> </w:t>
      </w:r>
      <w:r>
        <w:rPr>
          <w:rFonts w:ascii="Times New Roman" w:hAnsi="Times New Roman"/>
          <w:b w:val="false"/>
          <w:i/>
          <w:color w:val="000000"/>
          <w:sz w:val="22"/>
        </w:rPr>
        <w:t xml:space="preserve">Verification process. </w:t>
      </w:r>
      <w:r>
        <w:rPr>
          <w:rFonts w:ascii="Times New Roman" w:hAnsi="Times New Roman"/>
          <w:b w:val="false"/>
          <w:i w:val="false"/>
          <w:color w:val="000000"/>
          <w:sz w:val="22"/>
        </w:rPr>
        <w:t>CSRU shall send Form 470-2562 to the obligor and obligee on a case if CSRU has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95.25(2)</w:t>
      </w:r>
      <w:r>
        <w:rPr>
          <w:rFonts w:ascii="Times New Roman" w:hAnsi="Times New Roman"/>
          <w:b w:val="false"/>
          <w:i w:val="false"/>
          <w:color w:val="000000"/>
          <w:sz w:val="22"/>
        </w:rPr>
        <w:t> </w:t>
      </w:r>
      <w:r>
        <w:rPr>
          <w:rFonts w:ascii="Times New Roman" w:hAnsi="Times New Roman"/>
          <w:b w:val="false"/>
          <w:i/>
          <w:color w:val="000000"/>
          <w:sz w:val="22"/>
        </w:rPr>
        <w:t xml:space="preserve">Return information. </w:t>
      </w:r>
      <w:r>
        <w:rPr>
          <w:rFonts w:ascii="Times New Roman" w:hAnsi="Times New Roman"/>
          <w:b w:val="false"/>
          <w:i w:val="false"/>
          <w:color w:val="000000"/>
          <w:sz w:val="22"/>
        </w:rPr>
        <w:t>The obligor and obligee shall be asked to complete and return the form to the unit. CSRU shall use the information provided by the obligor or obligee to determine if the status of the child indicates that any previously ordered adjustments related to the obligation and a child’s emancipation are necessary on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return information. </w:t>
      </w:r>
      <w:r>
        <w:rPr>
          <w:rFonts w:ascii="Times New Roman" w:hAnsi="Times New Roman"/>
          <w:b w:val="false"/>
          <w:i w:val="false"/>
          <w:color w:val="000000"/>
          <w:sz w:val="22"/>
        </w:rPr>
        <w:t>If the obligor and obligee fail to return the questionnaire, CSRU shall apply the earliest emancipation date established in the support order to the case and implement changes in support amounts required in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95.25(4)</w:t>
      </w:r>
      <w:r>
        <w:rPr>
          <w:rFonts w:ascii="Times New Roman" w:hAnsi="Times New Roman"/>
          <w:b w:val="false"/>
          <w:i w:val="false"/>
          <w:color w:val="000000"/>
          <w:sz w:val="22"/>
        </w:rPr>
        <w:t> </w:t>
      </w:r>
      <w:r>
        <w:rPr>
          <w:rFonts w:ascii="Times New Roman" w:hAnsi="Times New Roman"/>
          <w:b w:val="false"/>
          <w:i/>
          <w:color w:val="000000"/>
          <w:sz w:val="22"/>
        </w:rPr>
        <w:t xml:space="preserve">Conflicting information returned. </w:t>
      </w:r>
      <w:r>
        <w:rPr>
          <w:rFonts w:ascii="Times New Roman" w:hAnsi="Times New Roman"/>
          <w:b w:val="false"/>
          <w:i w:val="false"/>
          <w:color w:val="000000"/>
          <w:sz w:val="22"/>
        </w:rPr>
        <w:t>If conflicting information is returned or made known to CSRU, CSRU shall have the right to verify the child’s status through sources other than the obligor and obligee.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3.pdf" Type="http://schemas.openxmlformats.org/officeDocument/2006/relationships/hyperlink" Id="rId4"/>
    <Relationship TargetMode="External" Target="https://www.legis.iowa.gov/docs/ico/chapter/252B.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