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441—95.23</w:t>
      </w:r>
      <w:r>
        <w:rPr>
          <w:rFonts w:ascii="Times New Roman" w:hAnsi="Times New Roman"/>
          <w:b/>
          <w:i w:val="false"/>
          <w:color w:val="000000"/>
          <w:sz w:val="22"/>
        </w:rPr>
        <w:t xml:space="preserve">(252B) </w:t>
      </w:r>
      <w:r>
        <w:rPr>
          <w:rFonts w:ascii="Times New Roman" w:hAnsi="Times New Roman"/>
          <w:b/>
          <w:i w:val="false"/>
          <w:color w:val="000000"/>
          <w:sz w:val="22"/>
        </w:rPr>
        <w:t xml:space="preserve">Reimbursing assistance with collections of assigned support. </w:t>
      </w:r>
      <w:r>
        <w:rPr>
          <w:rFonts w:ascii="Times New Roman" w:hAnsi="Times New Roman"/>
          <w:b w:val="false"/>
          <w:i w:val="false"/>
          <w:color w:val="000000"/>
          <w:sz w:val="22"/>
        </w:rPr>
        <w:t xml:space="preserve">For an obligee and child who currently receive assistance under the family investment program, the full amount of any assigned support collection that the department receives shall be distributed according to rule </w:t>
      </w:r>
      <w:hyperlink r:id="rId4">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 and retained by the department to reimburse the family investment program assistance.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252B.15</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5.3.pdf" Type="http://schemas.openxmlformats.org/officeDocument/2006/relationships/hyperlink" Id="rId4"/>
    <Relationship TargetMode="External" Target="https://www.legis.iowa.gov/docs/ico/chapter/252B.1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