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441—95.20</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applicants in establishing and obtaining support. </w:t>
      </w:r>
      <w:r>
        <w:rPr>
          <w:rFonts w:ascii="Times New Roman" w:hAnsi="Times New Roman"/>
          <w:b w:val="false"/>
          <w:i w:val="false"/>
          <w:color w:val="000000"/>
          <w:sz w:val="22"/>
        </w:rPr>
        <w:t xml:space="preserve">If a person who is an applicant of FIP or Medicaid is required to cooperate in establishing paternity; in establishing, modifying, or enforcing child or medical support; or in enforcing spousal support, the requirements in </w:t>
      </w:r>
      <w:hyperlink r:id="rId4">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shall apply. The appropriate staff in the FIP and Medicaid programs are designees of the child support recovery unit to determine noncooperation and issue notices of that determination until the referral to the unit is completed.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41.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co/chapter/252B.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