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441—95.19</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recipients in establishing and obtaining support. </w:t>
      </w:r>
      <w:r>
        <w:rPr>
          <w:rFonts w:ascii="Times New Roman" w:hAnsi="Times New Roman"/>
          <w:b w:val="false"/>
          <w:i w:val="false"/>
          <w:color w:val="000000"/>
          <w:sz w:val="22"/>
        </w:rPr>
        <w:t>If a person who is a recipient of FIP or Medicaid is required to cooperate with the child support recovery unit in establishing paternity; in establishing, modifying, or enforcing child or medical support; or in enforcing spousal support,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95.19(1)</w:t>
      </w:r>
      <w:r>
        <w:rPr>
          <w:rFonts w:ascii="Times New Roman" w:hAnsi="Times New Roman"/>
          <w:b w:val="false"/>
          <w:i w:val="false"/>
          <w:color w:val="000000"/>
          <w:sz w:val="22"/>
        </w:rPr>
        <w:t> </w:t>
      </w:r>
      <w:r>
        <w:rPr>
          <w:rFonts w:ascii="Times New Roman" w:hAnsi="Times New Roman"/>
          <w:b w:val="false"/>
          <w:i/>
          <w:color w:val="000000"/>
          <w:sz w:val="22"/>
        </w:rPr>
        <w:t xml:space="preserve">Cooperation defined. </w:t>
      </w:r>
      <w:r>
        <w:rPr>
          <w:rFonts w:ascii="Times New Roman" w:hAnsi="Times New Roman"/>
          <w:b w:val="false"/>
          <w:i w:val="false"/>
          <w:color w:val="000000"/>
          <w:sz w:val="22"/>
        </w:rPr>
        <w:t xml:space="preserve">The person shall cooperate in good faith in obtaining support for persons whose needs are included in the assistance grant or Medicaid household, except when good cause or other exception as defined in </w:t>
      </w:r>
      <w:hyperlink r:id="rId4">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for refusal to cooperate,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shall cooperate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support payments for the person and the child for whom assistance is claimed, and obtaining medical support for the person and child for whom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person if the action is requested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the name of the noncustodial parent and additional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at the child support recovery unit to provide verbal or written information or documentary evidence known to, possessed by, or reasonably obtained by the person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Appearing at judicial or other hearings, proceedings or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paternity of the child has not been legally established, submitting to blood or genetic tests pursuant to a judicial or administrative order. The person may be requested to sign a voluntary affidavit of paternity after being given notice of the rights and consequences of signing such an affidavit as required by the statute in Iowa Code section </w:t>
      </w:r>
      <w:hyperlink r:id="rId6">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However, the person shall not be required to sign an affidavit or otherwise relinquish the right to blood or genetic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cooperate with the child support recovery unit to the extent of supplying all known information and documents pertaining to the location of the noncustodial parent and taking action as may be necessary to secure or enforce a support obligation or establish paternity or to secure medical support. This includes completing and signing Form 470-3877, if requested, as well as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95.19(2)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The local child support recovery unit shall make the determination of whether or not a person has cooperated with the unit. The child support recovery unit shall promptly send notice of a determination of noncooperation to the person on Form 470-3400 and notify the FIP and Medicaid programs, as appropriate, of the noncooperation determination and the reason for the determination. The FIP and Medicaid programs shall take appropriate sanctioning actions as provided in statute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95.19(3)</w:t>
      </w:r>
      <w:r>
        <w:rPr>
          <w:rFonts w:ascii="Times New Roman" w:hAnsi="Times New Roman"/>
          <w:b w:val="false"/>
          <w:i w:val="false"/>
          <w:color w:val="000000"/>
          <w:sz w:val="22"/>
        </w:rPr>
        <w:t> </w:t>
      </w:r>
      <w:r>
        <w:rPr>
          <w:rFonts w:ascii="Times New Roman" w:hAnsi="Times New Roman"/>
          <w:b w:val="false"/>
          <w:i/>
          <w:color w:val="000000"/>
          <w:sz w:val="22"/>
        </w:rPr>
        <w:t xml:space="preserve">Good cause or other exception.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FIP assistance may claim a good cause or other exception for not cooperating, taking into consideration the best interests of the child as provided in </w:t>
      </w:r>
      <w:hyperlink r:id="rId7">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Medicaid may claim a good cause or other exception for not cooperating, taking into consideration the best interests of the child as provided in </w:t>
      </w:r>
      <w:hyperlink r:id="rId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41.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co/chapter/252A.3A.pdf" Type="http://schemas.openxmlformats.org/officeDocument/2006/relationships/hyperlink" Id="rId6"/>
    <Relationship TargetMode="External" Target="https://www.legis.iowa.gov/docs/iac/chapter/441.41.pdf" Type="http://schemas.openxmlformats.org/officeDocument/2006/relationships/hyperlink" Id="rId7"/>
    <Relationship TargetMode="External" Target="https://www.legis.iowa.gov/docs/iac/chapter/441.75.pdf" Type="http://schemas.openxmlformats.org/officeDocument/2006/relationships/hyperlink" Id="rId8"/>
    <Relationship TargetMode="External" Target="https://www.legis.iowa.gov/docs/ico/chapter/252B.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