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441—95.18</w:t>
      </w:r>
      <w:r>
        <w:rPr>
          <w:rFonts w:ascii="Times New Roman" w:hAnsi="Times New Roman"/>
          <w:b/>
          <w:i w:val="false"/>
          <w:color w:val="000000"/>
          <w:sz w:val="22"/>
        </w:rPr>
        <w:t xml:space="preserve">(252B) </w:t>
      </w:r>
      <w:r>
        <w:rPr>
          <w:rFonts w:ascii="Times New Roman" w:hAnsi="Times New Roman"/>
          <w:b/>
          <w:i w:val="false"/>
          <w:color w:val="000000"/>
          <w:sz w:val="22"/>
        </w:rPr>
        <w:t xml:space="preserve">Continued services available to canceled family investment program (FIP) or Medicaid recipients. </w:t>
      </w:r>
      <w:r>
        <w:rPr>
          <w:rFonts w:ascii="Times New Roman" w:hAnsi="Times New Roman"/>
          <w:b w:val="false"/>
          <w:i w:val="false"/>
          <w:color w:val="000000"/>
          <w:sz w:val="22"/>
        </w:rPr>
        <w:t xml:space="preserve">Support services shall automatically be provided to persons who were eligible to receive support services as recipients of FIP or Medicaid and who were canceled from FIP or Medicaid. Continued support services shall not be provided to a person who has been canceled from FIP or Medicaid when a claim of good cause, as defined at </w:t>
      </w:r>
      <w:hyperlink r:id="rId4">
        <w:r>
          <w:rPr>
            <w:rStyle w:val="Hyperlink"/>
            <w:rFonts w:ascii="Times New Roman" w:hAnsi="Times New Roman"/>
            <w:b w:val="false"/>
            <w:i w:val="false"/>
            <w:color w:val="000000"/>
            <w:sz w:val="22"/>
          </w:rPr>
          <w:t>441—Chapter 41</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as appropriate, was valid at the time assistance was canceled or when one of the reasons for termination of services, listed at rule </w:t>
      </w:r>
      <w:hyperlink r:id="rId6">
        <w:r>
          <w:rPr>
            <w:rStyle w:val="Hyperlink"/>
            <w:rFonts w:ascii="Times New Roman" w:hAnsi="Times New Roman"/>
            <w:b w:val="false"/>
            <w:i w:val="false"/>
            <w:color w:val="000000"/>
            <w:sz w:val="22"/>
          </w:rPr>
          <w:t>441—95.14</w:t>
        </w:r>
      </w:hyperlink>
      <w:r>
        <w:rPr>
          <w:rFonts w:ascii="Times New Roman" w:hAnsi="Times New Roman"/>
          <w:b w:val="false"/>
          <w:i w:val="false"/>
          <w:color w:val="000000"/>
          <w:sz w:val="22"/>
        </w:rPr>
        <w:t>(252B), applies to the case.</w:t>
      </w:r>
    </w:p>
    <w:p>
      <w:pPr>
        <w:spacing w:before="0" w:after="0"/>
        <w:ind w:left="120"/>
        <w:jc w:val="left"/>
      </w:pPr>
      <w:r>
        <w:rPr>
          <w:rFonts w:ascii="Times New Roman" w:hAnsi="Times New Roman"/>
          <w:b w:val="false"/>
          <w:i w:val="false"/>
          <w:color w:val="000000"/>
          <w:sz w:val="22"/>
        </w:rPr>
        <w:t>Support services shall be provided to eligible persons without application or application fee, but subject to applicable enforcement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95.18(1)</w:t>
      </w:r>
      <w:r>
        <w:rPr>
          <w:rFonts w:ascii="Times New Roman" w:hAnsi="Times New Roman"/>
          <w:b w:val="false"/>
          <w:i w:val="false"/>
          <w:color w:val="000000"/>
          <w:sz w:val="22"/>
        </w:rPr>
        <w:t> </w:t>
      </w:r>
      <w:r>
        <w:rPr>
          <w:rFonts w:ascii="Times New Roman" w:hAnsi="Times New Roman"/>
          <w:b w:val="false"/>
          <w:i/>
          <w:color w:val="000000"/>
          <w:sz w:val="22"/>
        </w:rPr>
        <w:t xml:space="preserve">Notice of services. </w:t>
      </w:r>
      <w:r>
        <w:rPr>
          <w:rFonts w:ascii="Times New Roman" w:hAnsi="Times New Roman"/>
          <w:b w:val="false"/>
          <w:i w:val="false"/>
          <w:color w:val="000000"/>
          <w:sz w:val="22"/>
        </w:rPr>
        <w:t>When a family is no longer eligible for public assistance, the department shall forward Form 470-1981 to the family’s last-known address within five working days of the notification of ineligibility, to inform the family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unless the family notifies the department to the contrary, services will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 the effect of continuing to receive support services, including the available services and the state’s policies on fees, cost recovery, and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95.18(2)</w:t>
      </w:r>
      <w:r>
        <w:rPr>
          <w:rFonts w:ascii="Times New Roman" w:hAnsi="Times New Roman"/>
          <w:b w:val="false"/>
          <w:i w:val="false"/>
          <w:color w:val="000000"/>
          <w:sz w:val="22"/>
        </w:rPr>
        <w:t> </w:t>
      </w:r>
      <w:r>
        <w:rPr>
          <w:rFonts w:ascii="Times New Roman" w:hAnsi="Times New Roman"/>
          <w:b w:val="false"/>
          <w:i/>
          <w:color w:val="000000"/>
          <w:sz w:val="22"/>
        </w:rPr>
        <w:t xml:space="preserve">Termination of services. </w:t>
      </w:r>
      <w:r>
        <w:rPr>
          <w:rFonts w:ascii="Times New Roman" w:hAnsi="Times New Roman"/>
          <w:b w:val="false"/>
          <w:i w:val="false"/>
          <w:color w:val="000000"/>
          <w:sz w:val="22"/>
        </w:rPr>
        <w:t>A person may request the department to terminate support services at any time by the completion and return of the appropriate portion of Form 470-1981, or in any other form of written communication, to the child support recovery unit.</w:t>
      </w:r>
    </w:p>
    <w:p>
      <w:pPr>
        <w:spacing w:before="0" w:after="0"/>
        <w:ind w:left="120"/>
        <w:jc w:val="both"/>
      </w:pPr>
      <w:r>
        <w:rPr>
          <w:rFonts w:ascii="Times New Roman" w:hAnsi="Times New Roman"/>
          <w:b w:val="false"/>
          <w:i w:val="false"/>
          <w:color w:val="000000"/>
          <w:sz w:val="22"/>
        </w:rPr>
        <w:t xml:space="preserve">Continued support services may be terminated at any time for any of the reasons listed in rule </w:t>
      </w:r>
      <w:hyperlink r:id="rId7">
        <w:r>
          <w:rPr>
            <w:rStyle w:val="Hyperlink"/>
            <w:rFonts w:ascii="Times New Roman" w:hAnsi="Times New Roman"/>
            <w:b w:val="false"/>
            <w:i w:val="false"/>
            <w:color w:val="000000"/>
            <w:sz w:val="22"/>
          </w:rPr>
          <w:t>441—95.14</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95.18(3)</w:t>
      </w:r>
      <w:r>
        <w:rPr>
          <w:rFonts w:ascii="Times New Roman" w:hAnsi="Times New Roman"/>
          <w:b w:val="false"/>
          <w:i w:val="false"/>
          <w:color w:val="000000"/>
          <w:sz w:val="22"/>
        </w:rPr>
        <w:t> </w:t>
      </w:r>
      <w:r>
        <w:rPr>
          <w:rFonts w:ascii="Times New Roman" w:hAnsi="Times New Roman"/>
          <w:b w:val="false"/>
          <w:i/>
          <w:color w:val="000000"/>
          <w:sz w:val="22"/>
        </w:rPr>
        <w:t xml:space="preserve">Reapplication for services. </w:t>
      </w:r>
      <w:r>
        <w:rPr>
          <w:rFonts w:ascii="Times New Roman" w:hAnsi="Times New Roman"/>
          <w:b w:val="false"/>
          <w:i w:val="false"/>
          <w:color w:val="000000"/>
          <w:sz w:val="22"/>
        </w:rPr>
        <w:t xml:space="preserve">A person whose services were denied or terminated may reapply for services under this chapter by completing the application process described in subrule </w:t>
      </w:r>
      <w:hyperlink r:id="rId8">
        <w:r>
          <w:rPr>
            <w:rStyle w:val="Hyperlink"/>
            <w:rFonts w:ascii="Times New Roman" w:hAnsi="Times New Roman"/>
            <w:b w:val="false"/>
            <w:i w:val="false"/>
            <w:color w:val="000000"/>
            <w:sz w:val="22"/>
          </w:rPr>
          <w:t>95.2(4)</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252B.4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4901C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41.pdf" Type="http://schemas.openxmlformats.org/officeDocument/2006/relationships/hyperlink" Id="rId4"/>
    <Relationship TargetMode="External" Target="https://www.legis.iowa.gov/docs/iac/chapter/441.75.pdf" Type="http://schemas.openxmlformats.org/officeDocument/2006/relationships/hyperlink" Id="rId5"/>
    <Relationship TargetMode="External" Target="https://www.legis.iowa.gov/docs/iac/rule/441.95.14.pdf" Type="http://schemas.openxmlformats.org/officeDocument/2006/relationships/hyperlink" Id="rId6"/>
    <Relationship TargetMode="External" Target="https://www.legis.iowa.gov/docs/iac/rule/441.95.14.pdf" Type="http://schemas.openxmlformats.org/officeDocument/2006/relationships/hyperlink" Id="rId7"/>
    <Relationship TargetMode="External" Target="https://www.legis.iowa.gov/docs/iac/rule/441.95.2.pdf" Type="http://schemas.openxmlformats.org/officeDocument/2006/relationships/hyperlink" Id="rId8"/>
    <Relationship TargetMode="External" Target="https://www.legis.iowa.gov/docs/ico/chapter/252B.4.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