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441—95.17</w:t>
      </w:r>
      <w:r>
        <w:rPr>
          <w:rFonts w:ascii="Times New Roman" w:hAnsi="Times New Roman"/>
          <w:b/>
          <w:i w:val="false"/>
          <w:color w:val="000000"/>
          <w:sz w:val="22"/>
        </w:rPr>
        <w:t xml:space="preserve">(252B) </w:t>
      </w:r>
      <w:r>
        <w:rPr>
          <w:rFonts w:ascii="Times New Roman" w:hAnsi="Times New Roman"/>
          <w:b/>
          <w:i w:val="false"/>
          <w:color w:val="000000"/>
          <w:sz w:val="22"/>
        </w:rPr>
        <w:t xml:space="preserve">Effective date of support. </w:t>
      </w:r>
      <w:r>
        <w:rPr>
          <w:rFonts w:ascii="Times New Roman" w:hAnsi="Times New Roman"/>
          <w:b w:val="false"/>
          <w:i w:val="false"/>
          <w:color w:val="000000"/>
          <w:sz w:val="22"/>
        </w:rPr>
        <w:t>For all original orders established by the child support recovery unit, the effective date of the support obligation under the orders shall be the twentieth day following the date the order is prepared by the unit, unless otherwise specified.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