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441—95.15</w:t>
      </w:r>
      <w:r>
        <w:rPr>
          <w:rFonts w:ascii="Times New Roman" w:hAnsi="Times New Roman"/>
          <w:b/>
          <w:i w:val="false"/>
          <w:color w:val="000000"/>
          <w:sz w:val="22"/>
        </w:rPr>
        <w:t xml:space="preserve">(252B) </w:t>
      </w:r>
      <w:r>
        <w:rPr>
          <w:rFonts w:ascii="Times New Roman" w:hAnsi="Times New Roman"/>
          <w:b/>
          <w:i w:val="false"/>
          <w:color w:val="000000"/>
          <w:sz w:val="22"/>
        </w:rPr>
        <w:t xml:space="preserve">Child support recovery unit attorney.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color w:val="000000"/>
          <w:sz w:val="22"/>
        </w:rPr>
        <w:t xml:space="preserve">State’s representative. </w:t>
      </w:r>
      <w:r>
        <w:rPr>
          <w:rFonts w:ascii="Times New Roman" w:hAnsi="Times New Roman"/>
          <w:b w:val="false"/>
          <w:i w:val="false"/>
          <w:color w:val="000000"/>
          <w:sz w:val="22"/>
        </w:rPr>
        <w:t xml:space="preserve">An assistant attorney general, assistant county attorney, or independent contract attorney employed by or under contract with the child support recovery unit represents only the state of Iowa. The sole attorney-client relationship for the child support recovery unit attorney is between the attorney and the state of Iowa. A private attorney acting under Iowa Code section </w:t>
      </w:r>
      <w:hyperlink r:id="rId4">
        <w:r>
          <w:rPr>
            <w:rStyle w:val="Hyperlink"/>
            <w:rFonts w:ascii="Times New Roman" w:hAnsi="Times New Roman"/>
            <w:b w:val="false"/>
            <w:i w:val="false"/>
            <w:color w:val="000000"/>
            <w:sz w:val="22"/>
          </w:rPr>
          <w:t>252B.6A</w:t>
        </w:r>
      </w:hyperlink>
      <w:r>
        <w:rPr>
          <w:rFonts w:ascii="Times New Roman" w:hAnsi="Times New Roman"/>
          <w:b w:val="false"/>
          <w:i w:val="false"/>
          <w:color w:val="000000"/>
          <w:sz w:val="22"/>
        </w:rPr>
        <w:t xml:space="preserve"> is not a child support recovery unit attorney, and is not a party to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color w:val="000000"/>
          <w:sz w:val="22"/>
        </w:rPr>
        <w:t xml:space="preserve">Provision of services. </w:t>
      </w:r>
      <w:r>
        <w:rPr>
          <w:rFonts w:ascii="Times New Roman" w:hAnsi="Times New Roman"/>
          <w:b w:val="false"/>
          <w:i w:val="false"/>
          <w:color w:val="000000"/>
          <w:sz w:val="22"/>
        </w:rPr>
        <w:t>The special role of the child support recovery unit attorney is limited by the attorney-client relationship between the attorney and the state of Iowa. The provision of legal services by the child support recovery unit attorney is limited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attorney shall not represent any person or entity other than the state of Iowa in the course of the attorney’s employment by or contractual relationship with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issue written disclosure of the attorney-client relationship between the attorney and the state of Iowa to recipients of child support enforcement services and to all parties in a review and adjustment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color w:val="000000"/>
          <w:sz w:val="22"/>
        </w:rPr>
        <w:t xml:space="preserve">Communication concerning case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provide case status information upon written request by any recipient of child support enforcement services or any party under the review and adjustment procedure, unless otherwise prohibited by state or federal statute or rules pertaining to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communications with other parties will be directed to those parties personally, unless a licensed attorney has entered an appearance or notified the child support recovery unit in writing that the attorney is representing a party. If any party is represented by counsel, all communications shall be directed to counsel for that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party is receiving public assistance, the unit shall refer any suspected fraud or questionable family investment program expenditures to the appropriate governmental agencies.</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252B.5 to 252B.7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598.21C</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6778C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2B.6A.pdf" Type="http://schemas.openxmlformats.org/officeDocument/2006/relationships/hyperlink" Id="rId4"/>
    <Relationship TargetMode="External" Target="https://www.legis.iowa.gov/docs/ico/chapter/252B.5-7.pdf" Type="http://schemas.openxmlformats.org/officeDocument/2006/relationships/hyperlink" Id="rId5"/>
    <Relationship TargetMode="External" Target="https://www.legis.iowa.gov/docs/ico/chapter/598.21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