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441—95.13</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Nonreceipt of support collected by the department that is to be paid to the obligee may be appealed pursuant to the procedures provided in this rule if the obligee claims that the payment was credited to the incorrect month in accordance with subrules </w:t>
      </w:r>
      <w:hyperlink r:id="rId4">
        <w:r>
          <w:rPr>
            <w:rStyle w:val="Hyperlink"/>
            <w:rFonts w:ascii="Times New Roman" w:hAnsi="Times New Roman"/>
            <w:b w:val="false"/>
            <w:i w:val="false"/>
            <w:color w:val="000000"/>
            <w:sz w:val="22"/>
          </w:rPr>
          <w:t>95.3(1)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95.3(2)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95.13(1)</w:t>
      </w:r>
      <w:r>
        <w:rPr>
          <w:rFonts w:ascii="Times New Roman" w:hAnsi="Times New Roman"/>
          <w:b w:val="false"/>
          <w:i w:val="false"/>
          <w:color w:val="000000"/>
          <w:sz w:val="22"/>
        </w:rPr>
        <w:t> </w:t>
      </w:r>
      <w:r>
        <w:rPr>
          <w:rFonts w:ascii="Times New Roman" w:hAnsi="Times New Roman"/>
          <w:b w:val="false"/>
          <w:i/>
          <w:color w:val="000000"/>
          <w:sz w:val="22"/>
        </w:rPr>
        <w:t xml:space="preserve">Contact with department. </w:t>
      </w:r>
      <w:r>
        <w:rPr>
          <w:rFonts w:ascii="Times New Roman" w:hAnsi="Times New Roman"/>
          <w:b w:val="false"/>
          <w:i w:val="false"/>
          <w:color w:val="000000"/>
          <w:sz w:val="22"/>
        </w:rPr>
        <w:t xml:space="preserve">Obligees who believe they have not received all or part of a support payment to which they are entitled in accordance with subrules </w:t>
      </w:r>
      <w:hyperlink r:id="rId7">
        <w:r>
          <w:rPr>
            <w:rStyle w:val="Hyperlink"/>
            <w:rFonts w:ascii="Times New Roman" w:hAnsi="Times New Roman"/>
            <w:b w:val="false"/>
            <w:i w:val="false"/>
            <w:color w:val="000000"/>
            <w:sz w:val="22"/>
          </w:rPr>
          <w:t>95.3(1)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95.3(2)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95.3(3)</w:t>
        </w:r>
      </w:hyperlink>
      <w:r>
        <w:rPr>
          <w:rFonts w:ascii="Times New Roman" w:hAnsi="Times New Roman"/>
          <w:b w:val="false"/>
          <w:i w:val="false"/>
          <w:color w:val="000000"/>
          <w:sz w:val="22"/>
        </w:rPr>
        <w:t xml:space="preserve"> must first contact a customer service representative and indicate that they have not received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obligee may contact a customer service representative by telephone or by writing to the Collection Services Center, P.O. Box 9243,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acknowledge this contact in writing, indicating the months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95.13(2)</w:t>
      </w:r>
      <w:r>
        <w:rPr>
          <w:rFonts w:ascii="Times New Roman" w:hAnsi="Times New Roman"/>
          <w:b w:val="false"/>
          <w:i w:val="false"/>
          <w:color w:val="000000"/>
          <w:sz w:val="22"/>
        </w:rPr>
        <w:t> </w:t>
      </w:r>
      <w:r>
        <w:rPr>
          <w:rFonts w:ascii="Times New Roman" w:hAnsi="Times New Roman"/>
          <w:b w:val="false"/>
          <w:i/>
          <w:color w:val="000000"/>
          <w:sz w:val="22"/>
        </w:rPr>
        <w:t xml:space="preserve">Written decision. </w:t>
      </w:r>
      <w:r>
        <w:rPr>
          <w:rFonts w:ascii="Times New Roman" w:hAnsi="Times New Roman"/>
          <w:b w:val="false"/>
          <w:i w:val="false"/>
          <w:color w:val="000000"/>
          <w:sz w:val="22"/>
        </w:rPr>
        <w:t>Within 30 days of the contact, the department shall issue a written decision on all contested support distributions based on the date of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95.13(3)</w:t>
      </w:r>
      <w:r>
        <w:rPr>
          <w:rFonts w:ascii="Times New Roman" w:hAnsi="Times New Roman"/>
          <w:b w:val="false"/>
          <w:i w:val="false"/>
          <w:color w:val="000000"/>
          <w:sz w:val="22"/>
        </w:rPr>
        <w:t> </w:t>
      </w:r>
      <w:r>
        <w:rPr>
          <w:rFonts w:ascii="Times New Roman" w:hAnsi="Times New Roman"/>
          <w:b w:val="false"/>
          <w:i/>
          <w:color w:val="000000"/>
          <w:sz w:val="22"/>
        </w:rPr>
        <w:t xml:space="preserve">Initiation of appeal. </w:t>
      </w:r>
      <w:r>
        <w:rPr>
          <w:rFonts w:ascii="Times New Roman" w:hAnsi="Times New Roman"/>
          <w:b w:val="false"/>
          <w:i w:val="false"/>
          <w:color w:val="000000"/>
          <w:sz w:val="22"/>
        </w:rPr>
        <w:t>If the department denies some or all support payments that are claimed based on the date of collection, the obligee may initiate an administrative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initiate an administrative appeal, the obligee shall make a written request to the child support recovery unit indicating an intent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limit for initiating an administrative appeal shall be governed by </w:t>
      </w:r>
      <w:hyperlink r:id="rId10">
        <w:r>
          <w:rPr>
            <w:rStyle w:val="Hyperlink"/>
            <w:rFonts w:ascii="Times New Roman" w:hAnsi="Times New Roman"/>
            <w:b w:val="false"/>
            <w:i w:val="false"/>
            <w:color w:val="000000"/>
            <w:sz w:val="22"/>
          </w:rPr>
          <w:t>441—subrule 7.4(3)</w:t>
        </w:r>
      </w:hyperlink>
      <w:r>
        <w:rPr>
          <w:rFonts w:ascii="Times New Roman" w:hAnsi="Times New Roman"/>
          <w:b w:val="false"/>
          <w:i w:val="false"/>
          <w:color w:val="000000"/>
          <w:sz w:val="22"/>
        </w:rPr>
        <w:t xml:space="preserve">. The time limit provided in </w:t>
      </w:r>
      <w:hyperlink r:id="rId11">
        <w:r>
          <w:rPr>
            <w:rStyle w:val="Hyperlink"/>
            <w:rFonts w:ascii="Times New Roman" w:hAnsi="Times New Roman"/>
            <w:b w:val="false"/>
            <w:i w:val="false"/>
            <w:color w:val="000000"/>
            <w:sz w:val="22"/>
          </w:rPr>
          <w:t>441—subrule 7.4(3)</w:t>
        </w:r>
      </w:hyperlink>
      <w:r>
        <w:rPr>
          <w:rFonts w:ascii="Times New Roman" w:hAnsi="Times New Roman"/>
          <w:b w:val="false"/>
          <w:i w:val="false"/>
          <w:color w:val="000000"/>
          <w:sz w:val="22"/>
        </w:rPr>
        <w:t xml:space="preserve"> shall start with the date that a written decision as required by subrule </w:t>
      </w:r>
      <w:hyperlink r:id="rId12">
        <w:r>
          <w:rPr>
            <w:rStyle w:val="Hyperlink"/>
            <w:rFonts w:ascii="Times New Roman" w:hAnsi="Times New Roman"/>
            <w:b w:val="false"/>
            <w:i w:val="false"/>
            <w:color w:val="000000"/>
            <w:sz w:val="22"/>
          </w:rPr>
          <w:t>95.13(2)</w:t>
        </w:r>
      </w:hyperlink>
      <w:r>
        <w:rPr>
          <w:rFonts w:ascii="Times New Roman" w:hAnsi="Times New Roman"/>
          <w:b w:val="false"/>
          <w:i w:val="false"/>
          <w:color w:val="000000"/>
          <w:sz w:val="22"/>
        </w:rPr>
        <w:t xml:space="preserv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no written decision has been issued after 30 days, the obligee may appeal the failure to issue a written decision. The appeal may be initiated at any time after 30 days and before a written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95.13(4)</w:t>
      </w:r>
      <w:r>
        <w:rPr>
          <w:rFonts w:ascii="Times New Roman" w:hAnsi="Times New Roman"/>
          <w:b w:val="false"/>
          <w:i w:val="false"/>
          <w:color w:val="000000"/>
          <w:sz w:val="22"/>
        </w:rPr>
        <w:t> </w:t>
      </w:r>
      <w:r>
        <w:rPr>
          <w:rFonts w:ascii="Times New Roman" w:hAnsi="Times New Roman"/>
          <w:b w:val="false"/>
          <w:i/>
          <w:color w:val="000000"/>
          <w:sz w:val="22"/>
        </w:rPr>
        <w:t xml:space="preserve">Limitation of appeals. </w:t>
      </w:r>
      <w:r>
        <w:rPr>
          <w:rFonts w:ascii="Times New Roman" w:hAnsi="Times New Roman"/>
          <w:b w:val="false"/>
          <w:i w:val="false"/>
          <w:color w:val="000000"/>
          <w:sz w:val="22"/>
        </w:rPr>
        <w:t>Appeals will be limited to claims based on child support received by the department during the nine-month period before the month in which the appeal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95.13(5)</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Except as specifically provided in this rule, administrative appeals shall be governed by </w:t>
      </w:r>
      <w:hyperlink r:id="rId1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95.13(6)</w:t>
      </w:r>
      <w:r>
        <w:rPr>
          <w:rFonts w:ascii="Times New Roman" w:hAnsi="Times New Roman"/>
          <w:b w:val="false"/>
          <w:i w:val="false"/>
          <w:color w:val="000000"/>
          <w:sz w:val="22"/>
        </w:rPr>
        <w:t> </w:t>
      </w:r>
      <w:r>
        <w:rPr>
          <w:rFonts w:ascii="Times New Roman" w:hAnsi="Times New Roman"/>
          <w:b w:val="false"/>
          <w:i/>
          <w:color w:val="000000"/>
          <w:sz w:val="22"/>
        </w:rPr>
        <w:t xml:space="preserve">Appeal issue. </w:t>
      </w:r>
      <w:r>
        <w:rPr>
          <w:rFonts w:ascii="Times New Roman" w:hAnsi="Times New Roman"/>
          <w:b w:val="false"/>
          <w:i w:val="false"/>
          <w:color w:val="000000"/>
          <w:sz w:val="22"/>
        </w:rPr>
        <w:t>The issue in appeals held pursuant to these procedures shall be limited to the obligee’s entitlement to a support payment that has been collected by the department.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17A.12 to 17A.20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5.3.pdf" Type="http://schemas.openxmlformats.org/officeDocument/2006/relationships/hyperlink" Id="rId4"/>
    <Relationship TargetMode="External" Target="https://www.legis.iowa.gov/docs/iac/rule/441.95.3.pdf" Type="http://schemas.openxmlformats.org/officeDocument/2006/relationships/hyperlink" Id="rId5"/>
    <Relationship TargetMode="External" Target="https://www.legis.iowa.gov/docs/iac/rule/441.95.3.pdf" Type="http://schemas.openxmlformats.org/officeDocument/2006/relationships/hyperlink" Id="rId6"/>
    <Relationship TargetMode="External" Target="https://www.legis.iowa.gov/docs/iac/rule/441.95.3.pdf" Type="http://schemas.openxmlformats.org/officeDocument/2006/relationships/hyperlink" Id="rId7"/>
    <Relationship TargetMode="External" Target="https://www.legis.iowa.gov/docs/iac/rule/441.95.3.pdf" Type="http://schemas.openxmlformats.org/officeDocument/2006/relationships/hyperlink" Id="rId8"/>
    <Relationship TargetMode="External" Target="https://www.legis.iowa.gov/docs/iac/rule/441.95.3.pdf" Type="http://schemas.openxmlformats.org/officeDocument/2006/relationships/hyperlink" Id="rId9"/>
    <Relationship TargetMode="External" Target="https://www.legis.iowa.gov/docs/iac/rule/441.7.5.pdf" Type="http://schemas.openxmlformats.org/officeDocument/2006/relationships/hyperlink" Id="rId10"/>
    <Relationship TargetMode="External" Target="https://www.legis.iowa.gov/docs/iac/rule/441.7.5.pdf" Type="http://schemas.openxmlformats.org/officeDocument/2006/relationships/hyperlink" Id="rId11"/>
    <Relationship TargetMode="External" Target="https://www.legis.iowa.gov/docs/iac/rule/441.95.13.pdf" Type="http://schemas.openxmlformats.org/officeDocument/2006/relationships/hyperlink" Id="rId12"/>
    <Relationship TargetMode="External" Target="https://www.legis.iowa.gov/docs/iac/chapter/441.7.pdf" Type="http://schemas.openxmlformats.org/officeDocument/2006/relationships/hyperlink" Id="rId13"/>
    <Relationship TargetMode="External" Target="https://www.legis.iowa.gov/docs/ico/chapter/17A.12-20.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