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All programs. </w:t>
      </w:r>
      <w:r>
        <w:rPr>
          <w:rFonts w:ascii="Times New Roman" w:hAnsi="Times New Roman"/>
          <w:b w:val="false"/>
          <w:i w:val="false"/>
          <w:color w:val="000000"/>
          <w:sz w:val="22"/>
        </w:rPr>
        <w:t>Except as otherwise provided by law, a subject may file a request with the custodian to review, and to have a written statement of additions, dissents, or objections entered into, a record containing personally identifiable information pertaining to that subject. However, the subject is not authorized to alter the original copy of the record or to expand the official record of any department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shall send the request to review such a record or the written statement of additions, dissents, or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to review such a record or the written statement of additions, dissents, or objections must be dated and signed by the subject, and shall include the current address and telephone number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Additional procedures for protected health information. </w:t>
      </w:r>
      <w:r>
        <w:rPr>
          <w:rFonts w:ascii="Times New Roman" w:hAnsi="Times New Roman"/>
          <w:b w:val="false"/>
          <w:i w:val="false"/>
          <w:color w:val="000000"/>
          <w:sz w:val="22"/>
        </w:rPr>
        <w:t>The department will follow the protected health information right to amend standards as outlined in 45 CFR §164.526 as amended to March 26, 2013. A subject shall submit a request for amendment to the department on a Request to Amend Health Information form published on the department’s website. The subject shall provide a reason to support the requested amendment.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