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441—9.11</w:t>
      </w:r>
      <w:r>
        <w:rPr>
          <w:rFonts w:ascii="Times New Roman" w:hAnsi="Times New Roman"/>
          <w:b/>
          <w:i w:val="false"/>
          <w:color w:val="000000"/>
          <w:sz w:val="22"/>
        </w:rPr>
        <w:t xml:space="preserve">(22)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Department records are open for public inspection and copying unless otherwise provided by rule or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 xml:space="preserve">Iowa Code chapters governing the operations of the department establish the confidential nature of many department records. The department also administers several federally funded programs and is authorized by Iowa Code section </w:t>
      </w:r>
      <w:hyperlink r:id="rId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to enforce confidentiality standards from federal law and regulation as required for receipt of the funds where the department has determined that the right to examine and copy public records under Iowa Code section </w:t>
      </w:r>
      <w:hyperlink r:id="rId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would cause the denial of funds, services, or essential information from the United States government that would otherwise be available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department may have discretion to disclose some confidential records that are exempt from disclosure under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9.pdf" Type="http://schemas.openxmlformats.org/officeDocument/2006/relationships/hyperlink" Id="rId4"/>
    <Relationship TargetMode="External" Target="https://www.legis.iowa.gov/docs/ico/chapter/22.2.pdf" Type="http://schemas.openxmlformats.org/officeDocument/2006/relationships/hyperlink" Id="rId5"/>
    <Relationship TargetMode="External" Target="https://www.legis.iowa.gov/docs/ico/chapter/2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