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441—9.10</w:t>
      </w:r>
      <w:r>
        <w:rPr>
          <w:rFonts w:ascii="Times New Roman" w:hAnsi="Times New Roman"/>
          <w:b/>
          <w:i w:val="false"/>
          <w:color w:val="000000"/>
          <w:sz w:val="22"/>
        </w:rPr>
        <w:t xml:space="preserve">(17A,22) </w:t>
      </w:r>
      <w:r>
        <w:rPr>
          <w:rFonts w:ascii="Times New Roman" w:hAnsi="Times New Roman"/>
          <w:b/>
          <w:i w:val="false"/>
          <w:color w:val="000000"/>
          <w:sz w:val="22"/>
        </w:rPr>
        <w:t xml:space="preserve">Use and disclosure without consent of the subject. </w:t>
      </w:r>
      <w:r>
        <w:rPr>
          <w:rFonts w:ascii="Times New Roman" w:hAnsi="Times New Roman"/>
          <w:b w:val="false"/>
          <w:i w:val="false"/>
          <w:color w:val="000000"/>
          <w:sz w:val="22"/>
        </w:rPr>
        <w:t>Open records are routinely disclosed without the consent of the subject. To the extent allowed by law, the department may also use and disclose confidential information without the consent of the subject or the subject’s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w:t>
      </w:r>
      <w:r>
        <w:rPr>
          <w:rFonts w:ascii="Times New Roman" w:hAnsi="Times New Roman"/>
          <w:b w:val="false"/>
          <w:i w:val="false"/>
          <w:color w:val="000000"/>
          <w:sz w:val="22"/>
        </w:rPr>
        <w:t> </w:t>
      </w:r>
      <w:r>
        <w:rPr>
          <w:rFonts w:ascii="Times New Roman" w:hAnsi="Times New Roman"/>
          <w:b w:val="false"/>
          <w:i/>
          <w:color w:val="000000"/>
          <w:sz w:val="22"/>
        </w:rPr>
        <w:t xml:space="preserve">Internal use. </w:t>
      </w:r>
      <w:r>
        <w:rPr>
          <w:rFonts w:ascii="Times New Roman" w:hAnsi="Times New Roman"/>
          <w:b w:val="false"/>
          <w:i w:val="false"/>
          <w:color w:val="000000"/>
          <w:sz w:val="22"/>
        </w:rPr>
        <w:t>Confidential information may be disclosed to employees and agents of the department as needed for the performance of their duties. The custodian of the record shall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9.10(2)</w:t>
      </w:r>
      <w:r>
        <w:rPr>
          <w:rFonts w:ascii="Times New Roman" w:hAnsi="Times New Roman"/>
          <w:b w:val="false"/>
          <w:i w:val="false"/>
          <w:color w:val="000000"/>
          <w:sz w:val="22"/>
        </w:rPr>
        <w:t> </w:t>
      </w:r>
      <w:r>
        <w:rPr>
          <w:rFonts w:ascii="Times New Roman" w:hAnsi="Times New Roman"/>
          <w:b w:val="false"/>
          <w:i/>
          <w:color w:val="000000"/>
          <w:sz w:val="22"/>
        </w:rPr>
        <w:t xml:space="preserve">Audits and health oversight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Audits. </w:t>
      </w:r>
      <w:r>
        <w:rPr>
          <w:rFonts w:ascii="Times New Roman" w:hAnsi="Times New Roman"/>
          <w:b w:val="false"/>
          <w:i w:val="false"/>
          <w:color w:val="000000"/>
          <w:sz w:val="22"/>
        </w:rPr>
        <w:t>Information concerning program expenditures and client eligibility is released to staff of the state executive and legislative branches who are responsible for ensuring that public funds have been managed correctly. Information is also released to auditors from federal agencies when those agencies provide program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Health oversight activities. </w:t>
      </w:r>
      <w:r>
        <w:rPr>
          <w:rFonts w:ascii="Times New Roman" w:hAnsi="Times New Roman"/>
          <w:b w:val="false"/>
          <w:i w:val="false"/>
          <w:color w:val="000000"/>
          <w:sz w:val="22"/>
        </w:rPr>
        <w:t>The department will follow the uses and disclosures standards for health oversight activities as outlined in 45 CFR §164.512 as amended to January 6, 2016.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9.10(3)</w:t>
      </w:r>
      <w:r>
        <w:rPr>
          <w:rFonts w:ascii="Times New Roman" w:hAnsi="Times New Roman"/>
          <w:b w:val="false"/>
          <w:i w:val="false"/>
          <w:color w:val="000000"/>
          <w:sz w:val="22"/>
        </w:rPr>
        <w:t> </w:t>
      </w:r>
      <w:r>
        <w:rPr>
          <w:rFonts w:ascii="Times New Roman" w:hAnsi="Times New Roman"/>
          <w:b w:val="false"/>
          <w:i/>
          <w:color w:val="000000"/>
          <w:sz w:val="22"/>
        </w:rPr>
        <w:t xml:space="preserve">Program review. </w:t>
      </w:r>
      <w:r>
        <w:rPr>
          <w:rFonts w:ascii="Times New Roman" w:hAnsi="Times New Roman"/>
          <w:b w:val="false"/>
          <w:i w:val="false"/>
          <w:color w:val="000000"/>
          <w:sz w:val="22"/>
        </w:rPr>
        <w:t xml:space="preserve">Information concerning client eligibility and benefits is released to state or federal officials responsible for determining whether the department is operating a program lawfully. These officials include the ombudsman office under Iowa Code section </w:t>
      </w:r>
      <w:hyperlink r:id="rId4">
        <w:r>
          <w:rPr>
            <w:rStyle w:val="Hyperlink"/>
            <w:rFonts w:ascii="Times New Roman" w:hAnsi="Times New Roman"/>
            <w:b w:val="false"/>
            <w:i w:val="false"/>
            <w:color w:val="000000"/>
            <w:sz w:val="22"/>
          </w:rPr>
          <w:t>2C.9</w:t>
        </w:r>
      </w:hyperlink>
      <w:r>
        <w:rPr>
          <w:rFonts w:ascii="Times New Roman" w:hAnsi="Times New Roman"/>
          <w:b w:val="false"/>
          <w:i w:val="false"/>
          <w:color w:val="000000"/>
          <w:sz w:val="22"/>
        </w:rPr>
        <w:t xml:space="preserve">, the auditor of state under Iowa Code section </w:t>
      </w:r>
      <w:hyperlink r:id="rId5">
        <w:r>
          <w:rPr>
            <w:rStyle w:val="Hyperlink"/>
            <w:rFonts w:ascii="Times New Roman" w:hAnsi="Times New Roman"/>
            <w:b w:val="false"/>
            <w:i w:val="false"/>
            <w:color w:val="000000"/>
            <w:sz w:val="22"/>
          </w:rPr>
          <w:t>11.2</w:t>
        </w:r>
      </w:hyperlink>
      <w:r>
        <w:rPr>
          <w:rFonts w:ascii="Times New Roman" w:hAnsi="Times New Roman"/>
          <w:b w:val="false"/>
          <w:i w:val="false"/>
          <w:color w:val="000000"/>
          <w:sz w:val="22"/>
        </w:rPr>
        <w:t>, the Office of Inspector General in the federal Department of Health and Human Services, and the Centers for Medicare and Medicaid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9.10(4)</w:t>
      </w:r>
      <w:r>
        <w:rPr>
          <w:rFonts w:ascii="Times New Roman" w:hAnsi="Times New Roman"/>
          <w:b w:val="false"/>
          <w:i w:val="false"/>
          <w:color w:val="000000"/>
          <w:sz w:val="22"/>
        </w:rPr>
        <w:t> </w:t>
      </w:r>
      <w:r>
        <w:rPr>
          <w:rFonts w:ascii="Times New Roman" w:hAnsi="Times New Roman"/>
          <w:b w:val="false"/>
          <w:i/>
          <w:color w:val="000000"/>
          <w:sz w:val="22"/>
        </w:rPr>
        <w:t xml:space="preserve">Contracts and agreements with agencies and persons.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enter into contracts or agreements with public or private agencies to carry out the department’s official duties or as necessary to administer a program within the other agency. Information necessary to carry out these duties may be shared with these agencies. The department may disclose protected health information to a business associate and may allow a business associate to create or receive protected health information on its behalf if the department obtains satisfactory assurance that the business associate will appropriately safeguard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enter into agreements to share information with agencies administering federal or federally assisted programs which provide assistance or services directly to persons on the basis of need. Only information collected in the family investment program, the child care assistance program, the food assistance program, the refugee resettlement program, or the child support recovery program may be shared under these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meet federal income and eligibility verification requirements, the department has entered into agreements with the department of workforce development, the United States Internal Revenue Service, and the United States Social Security Administration. The department obtains information regarding persons whose income or resources are considered in determining eligibility and the amount of benefits for the family investment program, refugee cash assistance, child care assistance, food assistance, Medicaid, state supplementary assistance and foster care. Identifying information regarding clients of these programs is released to these agencies. The information received may be used for eligibility and benefit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meet federal requirements under the Immigration Reform and Control Act of 1986 (IRCA) relating to the Systematic Alien Verification for Entitlements (SAVE) program, the department has entered into an agreement with the Bureau of Citizenship and Immigration Service (BCIS). Under the agreement, the department exchanges information necessary to verify alien status for the purpose of determining eligibility and the amount of benefits for the family investment program, refugee cash assistance, food assistance, Medicaid, state supplementary assistance and foster care assistance. Identifying information regarding these subjects is released to the BCIS. The information received may be used for eligibility and benefit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has entered into an agreement with the department of workforce development to provide services to family investment program clients participating in the PROMISE JOBS program as described at </w:t>
      </w:r>
      <w:hyperlink r:id="rId6">
        <w:r>
          <w:rPr>
            <w:rStyle w:val="Hyperlink"/>
            <w:rFonts w:ascii="Times New Roman" w:hAnsi="Times New Roman"/>
            <w:b w:val="false"/>
            <w:i w:val="false"/>
            <w:color w:val="000000"/>
            <w:sz w:val="22"/>
          </w:rPr>
          <w:t>441—Chapter 93</w:t>
        </w:r>
      </w:hyperlink>
      <w:r>
        <w:rPr>
          <w:rFonts w:ascii="Times New Roman" w:hAnsi="Times New Roman"/>
          <w:b w:val="false"/>
          <w:i w:val="false"/>
          <w:color w:val="000000"/>
          <w:sz w:val="22"/>
        </w:rPr>
        <w:t>. Information necessary to carry out these duties shall be shared with the department of workforce development, as well as with its subcontractors.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has entered into an agreement with the department of education, vocational rehabilitation, disability determination services, to assist with Medicaid disability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has entered into an agreement with the department of education to share information that assists both schools and department clients in carrying out the annual verification process required by the United States Department of Agriculture, Food and Nutrition Service. That federal agency requires the department of education and local schools to verify eligibility of a percentage of the households approved for free-meal benefits under the school lunch program. When a department office receives a written request from the local school, the department office responds in writing with the current family investment program and food assistance program status of each recipient of free meals listed in the request. Other client-specific information is made available only with written authorization from the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9.10(5)</w:t>
      </w:r>
      <w:r>
        <w:rPr>
          <w:rFonts w:ascii="Times New Roman" w:hAnsi="Times New Roman"/>
          <w:b w:val="false"/>
          <w:i w:val="false"/>
          <w:color w:val="000000"/>
          <w:sz w:val="22"/>
        </w:rPr>
        <w:t> </w:t>
      </w:r>
      <w:r>
        <w:rPr>
          <w:rFonts w:ascii="Times New Roman" w:hAnsi="Times New Roman"/>
          <w:b w:val="false"/>
          <w:i/>
          <w:color w:val="000000"/>
          <w:sz w:val="22"/>
        </w:rPr>
        <w:t xml:space="preserve">Release for judicial and administrative proceedings. </w:t>
      </w:r>
      <w:r>
        <w:rPr>
          <w:rFonts w:ascii="Times New Roman" w:hAnsi="Times New Roman"/>
          <w:b w:val="false"/>
          <w:i w:val="false"/>
          <w:color w:val="000000"/>
          <w:sz w:val="22"/>
        </w:rPr>
        <w:t xml:space="preserve">Information is released to the court as required in Iowa Code sections </w:t>
      </w:r>
      <w:hyperlink r:id="rId7">
        <w:r>
          <w:rPr>
            <w:rStyle w:val="Hyperlink"/>
            <w:rFonts w:ascii="Times New Roman" w:hAnsi="Times New Roman"/>
            <w:b w:val="false"/>
            <w:i w:val="false"/>
            <w:color w:val="000000"/>
            <w:sz w:val="22"/>
          </w:rPr>
          <w:t>125.80</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125.84</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125.86</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229.8</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229.10</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229.13</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229.14</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229.15</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229.22</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232.48</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232.49</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232.52</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232.71B</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232.81</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232.97</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232.98</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232.102</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232.111</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232.117</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disclose protected health information in the course of any judicial or administrative proceeding in response to an order of a court or administrative tribunal, provided that the department discloses only the protected health information expressly authorized by the order and the court makes the order knowing that the information is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court subpoenas information that the department is prohibited from releasing, the department shall advise the court of the statutory and regulatory provisions against disclosure of the information and shall disclose the information only on order of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9.10(6)</w:t>
      </w:r>
      <w:r>
        <w:rPr>
          <w:rFonts w:ascii="Times New Roman" w:hAnsi="Times New Roman"/>
          <w:b w:val="false"/>
          <w:i w:val="false"/>
          <w:color w:val="000000"/>
          <w:sz w:val="22"/>
        </w:rPr>
        <w:t> </w:t>
      </w:r>
      <w:r>
        <w:rPr>
          <w:rFonts w:ascii="Times New Roman" w:hAnsi="Times New Roman"/>
          <w:b w:val="false"/>
          <w:i/>
          <w:color w:val="000000"/>
          <w:sz w:val="22"/>
        </w:rPr>
        <w:t xml:space="preserve">Fraud. </w:t>
      </w:r>
      <w:r>
        <w:rPr>
          <w:rFonts w:ascii="Times New Roman" w:hAnsi="Times New Roman"/>
          <w:b w:val="false"/>
          <w:i w:val="false"/>
          <w:color w:val="000000"/>
          <w:sz w:val="22"/>
        </w:rPr>
        <w:t>Information concerning suspected fraud or misrepresentation to obtain department services or assistance is disclosed to the department of inspections, appeals, and licensing and to law enforcement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9.10(7)</w:t>
      </w:r>
      <w:r>
        <w:rPr>
          <w:rFonts w:ascii="Times New Roman" w:hAnsi="Times New Roman"/>
          <w:b w:val="false"/>
          <w:i w:val="false"/>
          <w:color w:val="000000"/>
          <w:sz w:val="22"/>
        </w:rPr>
        <w:t> </w:t>
      </w:r>
      <w:r>
        <w:rPr>
          <w:rFonts w:ascii="Times New Roman" w:hAnsi="Times New Roman"/>
          <w:b w:val="false"/>
          <w:i/>
          <w:color w:val="000000"/>
          <w:sz w:val="22"/>
        </w:rPr>
        <w:t xml:space="preserve">Service referrals. </w:t>
      </w:r>
      <w:r>
        <w:rPr>
          <w:rFonts w:ascii="Times New Roman" w:hAnsi="Times New Roman"/>
          <w:b w:val="false"/>
          <w:i w:val="false"/>
          <w:color w:val="000000"/>
          <w:sz w:val="22"/>
        </w:rPr>
        <w:t>Information concerning clients may be shared with purchase of service providers under contract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concerning the client’s circumstances and need for service is shared with prospective providers to obtain placement for the client. If the client is not accepted for service, all written information released to the provider shall be returned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information needed by the provider is mental health information or substance abuse information, the subject’s specific consent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9.10(8)</w:t>
      </w:r>
      <w:r>
        <w:rPr>
          <w:rFonts w:ascii="Times New Roman" w:hAnsi="Times New Roman"/>
          <w:b w:val="false"/>
          <w:i w:val="false"/>
          <w:color w:val="000000"/>
          <w:sz w:val="22"/>
        </w:rPr>
        <w:t> </w:t>
      </w:r>
      <w:r>
        <w:rPr>
          <w:rFonts w:ascii="Times New Roman" w:hAnsi="Times New Roman"/>
          <w:b w:val="false"/>
          <w:i/>
          <w:color w:val="000000"/>
          <w:sz w:val="22"/>
        </w:rPr>
        <w:t xml:space="preserve">Medicaid billing. </w:t>
      </w:r>
      <w:r>
        <w:rPr>
          <w:rFonts w:ascii="Times New Roman" w:hAnsi="Times New Roman"/>
          <w:b w:val="false"/>
          <w:i w:val="false"/>
          <w:color w:val="000000"/>
          <w:sz w:val="22"/>
        </w:rPr>
        <w:t>Only the following information shall be released to bona fide providers of medical services in the event that the provider is unable to obtain it from the subject and is unable to complete the Medicaid claim form without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Health coverage code as reflected on the subject’s medical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subject’s 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subject’s eligibility status for the month that the service was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amount of spenddown.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bills used to meet spenddown.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9.10(9)</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9.10(10)</w:t>
      </w:r>
      <w:r>
        <w:rPr>
          <w:rFonts w:ascii="Times New Roman" w:hAnsi="Times New Roman"/>
          <w:b w:val="false"/>
          <w:i w:val="false"/>
          <w:color w:val="000000"/>
          <w:sz w:val="22"/>
        </w:rPr>
        <w:t> </w:t>
      </w:r>
      <w:r>
        <w:rPr>
          <w:rFonts w:ascii="Times New Roman" w:hAnsi="Times New Roman"/>
          <w:b w:val="false"/>
          <w:i/>
          <w:color w:val="000000"/>
          <w:sz w:val="22"/>
        </w:rPr>
        <w:t xml:space="preserve">Child support recovery. </w:t>
      </w:r>
      <w:r>
        <w:rPr>
          <w:rFonts w:ascii="Times New Roman" w:hAnsi="Times New Roman"/>
          <w:b w:val="false"/>
          <w:i w:val="false"/>
          <w:color w:val="000000"/>
          <w:sz w:val="22"/>
        </w:rPr>
        <w:t xml:space="preserve">The child support recovery unit has access to information from most department records for the purpose of establishing and enforcing support obligations. Information about absent parents and recipients of child support services is released according to the provisions of Iowa Code chapters </w:t>
      </w:r>
      <w:hyperlink r:id="rId27">
        <w:r>
          <w:rPr>
            <w:rStyle w:val="Hyperlink"/>
            <w:rFonts w:ascii="Times New Roman" w:hAnsi="Times New Roman"/>
            <w:b w:val="false"/>
            <w:i w:val="false"/>
            <w:color w:val="000000"/>
            <w:sz w:val="22"/>
          </w:rPr>
          <w:t>234</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252A</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252C</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252D</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252E</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252F</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252G</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252H</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252I</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252K</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598</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600B</w:t>
        </w:r>
      </w:hyperlink>
      <w:r>
        <w:rPr>
          <w:rFonts w:ascii="Times New Roman" w:hAnsi="Times New Roman"/>
          <w:b w:val="false"/>
          <w:i w:val="false"/>
          <w:color w:val="000000"/>
          <w:sz w:val="22"/>
        </w:rPr>
        <w:t xml:space="preserve"> and any other support chapter. Information is also released to consumer reporting agencies as specified in rule </w:t>
      </w:r>
      <w:hyperlink r:id="rId41">
        <w:r>
          <w:rPr>
            <w:rStyle w:val="Hyperlink"/>
            <w:rFonts w:ascii="Times New Roman" w:hAnsi="Times New Roman"/>
            <w:b w:val="false"/>
            <w:i w:val="false"/>
            <w:color w:val="000000"/>
            <w:sz w:val="22"/>
          </w:rPr>
          <w:t>441—98.116</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9.10(11)</w:t>
      </w:r>
      <w:r>
        <w:rPr>
          <w:rFonts w:ascii="Times New Roman" w:hAnsi="Times New Roman"/>
          <w:b w:val="false"/>
          <w:i w:val="false"/>
          <w:color w:val="000000"/>
          <w:sz w:val="22"/>
        </w:rPr>
        <w:t> </w:t>
      </w:r>
      <w:r>
        <w:rPr>
          <w:rFonts w:ascii="Times New Roman" w:hAnsi="Times New Roman"/>
          <w:b w:val="false"/>
          <w:i/>
          <w:color w:val="000000"/>
          <w:sz w:val="22"/>
        </w:rPr>
        <w:t xml:space="preserve">Refugee resettlement program. </w:t>
      </w:r>
      <w:r>
        <w:rPr>
          <w:rFonts w:ascii="Times New Roman" w:hAnsi="Times New Roman"/>
          <w:b w:val="false"/>
          <w:i w:val="false"/>
          <w:color w:val="000000"/>
          <w:sz w:val="22"/>
        </w:rPr>
        <w:t>Contacts with both sponsor and resettlement agencies are made as a part of the verification process to determine eligibility or the amount of assistance. When a refugee applies for cash or Medicaid, the refugee’s name, address, and telephone number are given to the refugee’s local resettlement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9.10(12)</w:t>
      </w:r>
      <w:r>
        <w:rPr>
          <w:rFonts w:ascii="Times New Roman" w:hAnsi="Times New Roman"/>
          <w:b w:val="false"/>
          <w:i w:val="false"/>
          <w:color w:val="000000"/>
          <w:sz w:val="22"/>
        </w:rPr>
        <w:t> </w:t>
      </w:r>
      <w:r>
        <w:rPr>
          <w:rFonts w:ascii="Times New Roman" w:hAnsi="Times New Roman"/>
          <w:b w:val="false"/>
          <w:i/>
          <w:color w:val="000000"/>
          <w:sz w:val="22"/>
        </w:rPr>
        <w:t xml:space="preserve">Abuse investigation. </w:t>
      </w:r>
      <w:r>
        <w:rPr>
          <w:rFonts w:ascii="Times New Roman" w:hAnsi="Times New Roman"/>
          <w:b w:val="false"/>
          <w:i w:val="false"/>
          <w:color w:val="000000"/>
          <w:sz w:val="22"/>
        </w:rPr>
        <w:t xml:space="preserve">The central abuse registry disseminates child abuse information and dependent adult abuse information as provided in Iowa Code sections </w:t>
      </w:r>
      <w:hyperlink r:id="rId42">
        <w:r>
          <w:rPr>
            <w:rStyle w:val="Hyperlink"/>
            <w:rFonts w:ascii="Times New Roman" w:hAnsi="Times New Roman"/>
            <w:b w:val="false"/>
            <w:i w:val="false"/>
            <w:color w:val="000000"/>
            <w:sz w:val="22"/>
          </w:rPr>
          <w:t>235A.15</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235B.7</w:t>
        </w:r>
      </w:hyperlink>
      <w:r>
        <w:rPr>
          <w:rFonts w:ascii="Times New Roman" w:hAnsi="Times New Roman"/>
          <w:b w:val="false"/>
          <w:i w:val="false"/>
          <w:color w:val="000000"/>
          <w:sz w:val="22"/>
        </w:rPr>
        <w:t xml:space="preserve">, respectively. Reports of child abuse and dependent adult abuse investigations are submitted to the county attorney as required in Iowa Code sections </w:t>
      </w:r>
      <w:hyperlink r:id="rId44">
        <w:r>
          <w:rPr>
            <w:rStyle w:val="Hyperlink"/>
            <w:rFonts w:ascii="Times New Roman" w:hAnsi="Times New Roman"/>
            <w:b w:val="false"/>
            <w:i w:val="false"/>
            <w:color w:val="000000"/>
            <w:sz w:val="22"/>
          </w:rPr>
          <w:t>232.71B</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 xml:space="preserve">. Results of the investigation of a report by a mandatory reporter are communicated to the reporter as required in Iowa Code sections </w:t>
      </w:r>
      <w:hyperlink r:id="rId46">
        <w:r>
          <w:rPr>
            <w:rStyle w:val="Hyperlink"/>
            <w:rFonts w:ascii="Times New Roman" w:hAnsi="Times New Roman"/>
            <w:b w:val="false"/>
            <w:i w:val="false"/>
            <w:color w:val="000000"/>
            <w:sz w:val="22"/>
          </w:rPr>
          <w:t>235A.17(2)</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235A.15(2)</w:t>
        </w:r>
      </w:hyperlink>
      <w:r>
        <w:rPr>
          <w:rFonts w:ascii="Times New Roman" w:hAnsi="Times New Roman"/>
          <w:b w:val="false"/>
          <w:i/>
          <w:color w:val="000000"/>
          <w:sz w:val="22"/>
        </w:rPr>
        <w:t>“b”</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9.10(13)</w:t>
      </w:r>
      <w:r>
        <w:rPr>
          <w:rFonts w:ascii="Times New Roman" w:hAnsi="Times New Roman"/>
          <w:b w:val="false"/>
          <w:i w:val="false"/>
          <w:color w:val="000000"/>
          <w:sz w:val="22"/>
        </w:rPr>
        <w:t> </w:t>
      </w:r>
      <w:r>
        <w:rPr>
          <w:rFonts w:ascii="Times New Roman" w:hAnsi="Times New Roman"/>
          <w:b w:val="false"/>
          <w:i/>
          <w:color w:val="000000"/>
          <w:sz w:val="22"/>
        </w:rPr>
        <w:t xml:space="preserve">Foster care. </w:t>
      </w:r>
      <w:r>
        <w:rPr>
          <w:rFonts w:ascii="Times New Roman" w:hAnsi="Times New Roman"/>
          <w:b w:val="false"/>
          <w:i w:val="false"/>
          <w:color w:val="000000"/>
          <w:sz w:val="22"/>
        </w:rPr>
        <w:t>Information concerning a child’s need for foster care is shared with foster care review committees or foster care review boards and persons named in the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9.10(14)</w:t>
      </w:r>
      <w:r>
        <w:rPr>
          <w:rFonts w:ascii="Times New Roman" w:hAnsi="Times New Roman"/>
          <w:b w:val="false"/>
          <w:i w:val="false"/>
          <w:color w:val="000000"/>
          <w:sz w:val="22"/>
        </w:rPr>
        <w:t> </w:t>
      </w:r>
      <w:r>
        <w:rPr>
          <w:rFonts w:ascii="Times New Roman" w:hAnsi="Times New Roman"/>
          <w:b w:val="false"/>
          <w:i/>
          <w:color w:val="000000"/>
          <w:sz w:val="22"/>
        </w:rPr>
        <w:t xml:space="preserve">Adoption. </w:t>
      </w:r>
      <w:r>
        <w:rPr>
          <w:rFonts w:ascii="Times New Roman" w:hAnsi="Times New Roman"/>
          <w:b w:val="false"/>
          <w:i w:val="false"/>
          <w:color w:val="000000"/>
          <w:sz w:val="22"/>
        </w:rPr>
        <w:t xml:space="preserve">Adoptive home studies completed on families who wish to adopt a child are released to licensed child-placing agencies, to the United States Immigration and Naturalization Service, and to adoption exchanges. Information is released from adoption records as provided in Iowa Code sections </w:t>
      </w:r>
      <w:hyperlink r:id="rId48">
        <w:r>
          <w:rPr>
            <w:rStyle w:val="Hyperlink"/>
            <w:rFonts w:ascii="Times New Roman" w:hAnsi="Times New Roman"/>
            <w:b w:val="false"/>
            <w:i w:val="false"/>
            <w:color w:val="000000"/>
            <w:sz w:val="22"/>
          </w:rPr>
          <w:t>600.16</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600.24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9.10(15)</w:t>
      </w:r>
      <w:r>
        <w:rPr>
          <w:rFonts w:ascii="Times New Roman" w:hAnsi="Times New Roman"/>
          <w:b w:val="false"/>
          <w:i w:val="false"/>
          <w:color w:val="000000"/>
          <w:sz w:val="22"/>
        </w:rPr>
        <w:t> </w:t>
      </w:r>
      <w:r>
        <w:rPr>
          <w:rFonts w:ascii="Times New Roman" w:hAnsi="Times New Roman"/>
          <w:b w:val="false"/>
          <w:i/>
          <w:color w:val="000000"/>
          <w:sz w:val="22"/>
        </w:rPr>
        <w:t xml:space="preserve">Disclosures to law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Disclosures by workforce members who are crime victims. </w:t>
      </w:r>
      <w:r>
        <w:rPr>
          <w:rFonts w:ascii="Times New Roman" w:hAnsi="Times New Roman"/>
          <w:b w:val="false"/>
          <w:i w:val="false"/>
          <w:color w:val="000000"/>
          <w:sz w:val="22"/>
        </w:rPr>
        <w:t>The department is not considered to have violated the requirements of this chapter if a member of its workforce who is the victim of a criminal act discloses confidential information to a law enforcement official,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confidential information disclosed is about the suspected perpetrator of the criminal act and intended for identification and location purposes;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confidential information disclosed is limited to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and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ABO blood type and Rh factor.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Type of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Date and time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Date and time of death,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description of distinguishing physical characteristics, including height, weight, gender, race, hair and eye color, presence or absence of facial hair (beard or moustache), scars, and tattoos.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Crime on premises. </w:t>
      </w:r>
      <w:r>
        <w:rPr>
          <w:rFonts w:ascii="Times New Roman" w:hAnsi="Times New Roman"/>
          <w:b w:val="false"/>
          <w:i w:val="false"/>
          <w:color w:val="000000"/>
          <w:sz w:val="22"/>
        </w:rPr>
        <w:t>The department may disclose to a law enforcement official protected health information that the department believes in good faith constitutes evidence of criminal conduct that occurred on the premises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Decedents. </w:t>
      </w:r>
      <w:r>
        <w:rPr>
          <w:rFonts w:ascii="Times New Roman" w:hAnsi="Times New Roman"/>
          <w:b w:val="false"/>
          <w:i w:val="false"/>
          <w:color w:val="000000"/>
          <w:sz w:val="22"/>
        </w:rPr>
        <w:t>The department may disclose protected health information to a law enforcement official about a subject who has died when the death resulted from child abuse or neglect or the death occurred in a department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The department may disclose confidential information to a law enforcement official when otherwise required or allowed by this chapter, such as disclosures about victims of child abuse or neglect; disclosures to avert a threat to health or safety, or to report suspected fraud; disclosures required by due process of law, such as disclosures for judicial and administrative proceedings; or other disclosures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9.10(16)</w:t>
      </w:r>
      <w:r>
        <w:rPr>
          <w:rFonts w:ascii="Times New Roman" w:hAnsi="Times New Roman"/>
          <w:b w:val="false"/>
          <w:i w:val="false"/>
          <w:color w:val="000000"/>
          <w:sz w:val="22"/>
        </w:rPr>
        <w:t> </w:t>
      </w:r>
      <w:r>
        <w:rPr>
          <w:rFonts w:ascii="Times New Roman" w:hAnsi="Times New Roman"/>
          <w:b w:val="false"/>
          <w:i/>
          <w:color w:val="000000"/>
          <w:sz w:val="22"/>
        </w:rPr>
        <w:t xml:space="preserve">Response to law enforcement. </w:t>
      </w:r>
      <w:r>
        <w:rPr>
          <w:rFonts w:ascii="Times New Roman" w:hAnsi="Times New Roman"/>
          <w:b w:val="false"/>
          <w:i w:val="false"/>
          <w:color w:val="000000"/>
          <w:sz w:val="22"/>
        </w:rPr>
        <w:t>The address of a current recipient of family investment program benefits may be released upon request to a federal, state or local law enforcement officer if the officer provides the name of the recipient, and the officer demonstrates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recipient is a fugitive felon who is fleeing prosecution, custody or confinement after conviction under state or federal law, or who is a probation or parole violator under state or federal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recipient has information that is necessary for the officer to conduct the officer’s official duties,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location or apprehension of the recipient is within the officer’s official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9.10(17)</w:t>
      </w:r>
      <w:r>
        <w:rPr>
          <w:rFonts w:ascii="Times New Roman" w:hAnsi="Times New Roman"/>
          <w:b w:val="false"/>
          <w:i w:val="false"/>
          <w:color w:val="000000"/>
          <w:sz w:val="22"/>
        </w:rPr>
        <w:t> </w:t>
      </w:r>
      <w:r>
        <w:rPr>
          <w:rFonts w:ascii="Times New Roman" w:hAnsi="Times New Roman"/>
          <w:b w:val="false"/>
          <w:i/>
          <w:color w:val="000000"/>
          <w:sz w:val="22"/>
        </w:rPr>
        <w:t xml:space="preserve">Research. </w:t>
      </w:r>
      <w:r>
        <w:rPr>
          <w:rFonts w:ascii="Times New Roman" w:hAnsi="Times New Roman"/>
          <w:b w:val="false"/>
          <w:i w:val="false"/>
          <w:color w:val="000000"/>
          <w:sz w:val="22"/>
        </w:rPr>
        <w:t xml:space="preserve">Disclosure is made to employees of federal, state and local agencies and other researchers for purposes of bona fide research. The department shall not release data or information pursuant to this paragraph unless the department and the researcher have executed an agreement that includes the conditions under which the confidential data or information may be used and restrictions on further disclosure of the data or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Mental health information may be disclosed for purposes of scientific research as provided in Iowa Code sections </w:t>
      </w:r>
      <w:hyperlink r:id="rId50">
        <w:r>
          <w:rPr>
            <w:rStyle w:val="Hyperlink"/>
            <w:rFonts w:ascii="Times New Roman" w:hAnsi="Times New Roman"/>
            <w:b w:val="false"/>
            <w:i w:val="false"/>
            <w:color w:val="000000"/>
            <w:sz w:val="22"/>
          </w:rPr>
          <w:t>228.5</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229.25</w:t>
        </w:r>
      </w:hyperlink>
      <w:r>
        <w:rPr>
          <w:rFonts w:ascii="Times New Roman" w:hAnsi="Times New Roman"/>
          <w:b w:val="false"/>
          <w:i w:val="false"/>
          <w:color w:val="000000"/>
          <w:sz w:val="22"/>
        </w:rPr>
        <w:t>. Requests to do research involving records of a department facility shall be approved by the designated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Abuse registry information may be disclosed for research purposes as provided in rules </w:t>
      </w:r>
      <w:hyperlink r:id="rId52">
        <w:r>
          <w:rPr>
            <w:rStyle w:val="Hyperlink"/>
            <w:rFonts w:ascii="Times New Roman" w:hAnsi="Times New Roman"/>
            <w:b w:val="false"/>
            <w:i w:val="false"/>
            <w:color w:val="000000"/>
            <w:sz w:val="22"/>
          </w:rPr>
          <w:t>441—175.42</w:t>
        </w:r>
      </w:hyperlink>
      <w:r>
        <w:rPr>
          <w:rFonts w:ascii="Times New Roman" w:hAnsi="Times New Roman"/>
          <w:b w:val="false"/>
          <w:i w:val="false"/>
          <w:color w:val="000000"/>
          <w:sz w:val="22"/>
        </w:rPr>
        <w:t xml:space="preserve">(235A) and </w:t>
      </w:r>
      <w:hyperlink r:id="rId53">
        <w:r>
          <w:rPr>
            <w:rStyle w:val="Hyperlink"/>
            <w:rFonts w:ascii="Times New Roman" w:hAnsi="Times New Roman"/>
            <w:b w:val="false"/>
            <w:i w:val="false"/>
            <w:color w:val="000000"/>
            <w:sz w:val="22"/>
          </w:rPr>
          <w:t>441—176.12</w:t>
        </w:r>
      </w:hyperlink>
      <w:r>
        <w:rPr>
          <w:rFonts w:ascii="Times New Roman" w:hAnsi="Times New Roman"/>
          <w:b w:val="false"/>
          <w:i w:val="false"/>
          <w:color w:val="000000"/>
          <w:sz w:val="22"/>
        </w:rPr>
        <w:t xml:space="preserve">(235B) and authorized by Iowa Code sections </w:t>
      </w:r>
      <w:hyperlink r:id="rId54">
        <w:r>
          <w:rPr>
            <w:rStyle w:val="Hyperlink"/>
            <w:rFonts w:ascii="Times New Roman" w:hAnsi="Times New Roman"/>
            <w:b w:val="false"/>
            <w:i w:val="false"/>
            <w:color w:val="000000"/>
            <w:sz w:val="22"/>
          </w:rPr>
          <w:t>235A.15(2)</w:t>
        </w:r>
      </w:hyperlink>
      <w:r>
        <w:rPr>
          <w:rFonts w:ascii="Times New Roman" w:hAnsi="Times New Roman"/>
          <w:b w:val="false"/>
          <w:i/>
          <w:color w:val="000000"/>
          <w:sz w:val="22"/>
        </w:rPr>
        <w:t>“e”</w:t>
      </w:r>
      <w:r>
        <w:rPr>
          <w:rFonts w:ascii="Times New Roman" w:hAnsi="Times New Roman"/>
          <w:b w:val="false"/>
          <w:i w:val="false"/>
          <w:color w:val="000000"/>
          <w:sz w:val="22"/>
        </w:rPr>
        <w:t xml:space="preserve">(1) and </w:t>
      </w:r>
      <w:hyperlink r:id="rId55">
        <w:r>
          <w:rPr>
            <w:rStyle w:val="Hyperlink"/>
            <w:rFonts w:ascii="Times New Roman" w:hAnsi="Times New Roman"/>
            <w:b w:val="false"/>
            <w:i w:val="false"/>
            <w:color w:val="000000"/>
            <w:sz w:val="22"/>
          </w:rPr>
          <w:t>235B.6(2)</w:t>
        </w:r>
      </w:hyperlink>
      <w:r>
        <w:rPr>
          <w:rFonts w:ascii="Times New Roman" w:hAnsi="Times New Roman"/>
          <w:b w:val="false"/>
          <w:i/>
          <w:color w:val="000000"/>
          <w:sz w:val="22"/>
        </w:rPr>
        <w:t>“e”</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research relating to protected health information, the researcher shall provide the department with information about the nature of the research, the protocol, the type of information being requested, and any other relevant information that is available concerning the request. If the researcher feels that contact with the subject is needed, the researcher shall demonstrate to the department that the research cannot be conducted without contact with the subject. The researcher shall pay for the costs of obtaining authorizations needed to contact the subjects and for the cost of files and preparation needed for the research.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9.10(18)</w:t>
      </w:r>
      <w:r>
        <w:rPr>
          <w:rFonts w:ascii="Times New Roman" w:hAnsi="Times New Roman"/>
          <w:b w:val="false"/>
          <w:i w:val="false"/>
          <w:color w:val="000000"/>
          <w:sz w:val="22"/>
        </w:rPr>
        <w:t> </w:t>
      </w:r>
      <w:r>
        <w:rPr>
          <w:rFonts w:ascii="Times New Roman" w:hAnsi="Times New Roman"/>
          <w:b w:val="false"/>
          <w:i/>
          <w:color w:val="000000"/>
          <w:sz w:val="22"/>
        </w:rPr>
        <w:t xml:space="preserve">Threat to health or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programs. A client’s name, identification, location, and details of a client’s threatened or actual harm to department staff or property may be reported to law enforcement officials. Other information regarding the client’s relationship to the department shall not be released. When a department staff person believes a client intends to harm someone, the staff person may warn the intended victim or police or both. Only the name, identification, and location of the client and the details of the client’s plan of harm shall be disclosed.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Protected health information. The department will follow the disclosure standards in 45 CFR §164.512 as amended to January 6, 2016.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9.10(19)</w:t>
      </w:r>
      <w:r>
        <w:rPr>
          <w:rFonts w:ascii="Times New Roman" w:hAnsi="Times New Roman"/>
          <w:b w:val="false"/>
          <w:i w:val="false"/>
          <w:color w:val="000000"/>
          <w:sz w:val="22"/>
        </w:rPr>
        <w:t> </w:t>
      </w:r>
      <w:r>
        <w:rPr>
          <w:rFonts w:ascii="Times New Roman" w:hAnsi="Times New Roman"/>
          <w:b w:val="false"/>
          <w:i/>
          <w:color w:val="000000"/>
          <w:sz w:val="22"/>
        </w:rPr>
        <w:t xml:space="preserve">Required by law.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is shared with other agencies without a contract or written agreement when federal law or regulations require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use or disclose protected health information to the extent that use or disclosure is required by law and the use or disclosure complies with and is limited to the relevant requirements of the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 law shall preempt rules in this chapter about protected health information when any one of the following conditions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Exception granted by Secretary of Health and Human Services under 45 CFR §160.204 as amended to March 26, 2013.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law more stringent. The provision of state law relates to the privacy of protected health information and is more stringent than a requirement of this chapter, within the meaning of “more stringent” found at 45 CFR §160.202 as amended to March 26, 2013.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Reporting requirements. The provision of state law, including state procedures established under the law, as applicable, provides for the reporting of disease or injury, child abuse, birth, or death, or for the conduct of public health surveillance, investigation, or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Requirements related to audits, monitoring, evaluation, licensing, and certification. The provision of state law requires a health plan to report, or to provide access to, information for the purpose of management audits, financial audits, program monitoring and evaluation, or the licensure or certification of facilities and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9.10(20)</w:t>
      </w:r>
      <w:r>
        <w:rPr>
          <w:rFonts w:ascii="Times New Roman" w:hAnsi="Times New Roman"/>
          <w:b w:val="false"/>
          <w:i w:val="false"/>
          <w:color w:val="000000"/>
          <w:sz w:val="22"/>
        </w:rPr>
        <w:t> </w:t>
      </w:r>
      <w:r>
        <w:rPr>
          <w:rFonts w:ascii="Times New Roman" w:hAnsi="Times New Roman"/>
          <w:b w:val="false"/>
          <w:i/>
          <w:color w:val="000000"/>
          <w:sz w:val="22"/>
        </w:rPr>
        <w:t xml:space="preserve">Treatment, payment, or health care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use or disclose protected health information for treatment, payment, or health care operations, as permitted by 45 CFR §164.506 as amended to January 25, 2013, except for psychotherapy notes, which are subject to the limits described in paragraph </w:t>
      </w:r>
      <w:hyperlink r:id="rId56">
        <w:r>
          <w:rPr>
            <w:rStyle w:val="Hyperlink"/>
            <w:rFonts w:ascii="Times New Roman" w:hAnsi="Times New Roman"/>
            <w:b w:val="false"/>
            <w:i w:val="false"/>
            <w:color w:val="000000"/>
            <w:sz w:val="22"/>
          </w:rPr>
          <w:t>9.10(21)</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use or disclosure shall be consistent with other applicable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use or disclose psychotherapy notes without an authorization for any one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carry out the following treatment, payment, or health care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by the originator of the psychotherapy notes for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Use or disclosure by the department for its own training programs in which students, trainees, or practitioners in mental health learn under supervision to practice or improve their skills in group, joint, family, or individual 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Use or disclosure by the department to defend itself in a legal action or other proceeding brought by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required by the Secretary of Health and Human Services to investigate or determine the department’s compliance with federal HIPAA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health oversight activities with respect to the oversight of the originator of the psychotherapy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necessary to prevent or lessen a serious and imminent threat to the health or safety of a person or the public as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required by law as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To disclose protected health information in the designated record set to a coroner or medical examiner as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9.10(21)</w:t>
      </w:r>
      <w:r>
        <w:rPr>
          <w:rFonts w:ascii="Times New Roman" w:hAnsi="Times New Roman"/>
          <w:b w:val="false"/>
          <w:i w:val="false"/>
          <w:color w:val="000000"/>
          <w:sz w:val="22"/>
        </w:rPr>
        <w:t> </w:t>
      </w:r>
      <w:r>
        <w:rPr>
          <w:rFonts w:ascii="Times New Roman" w:hAnsi="Times New Roman"/>
          <w:b w:val="false"/>
          <w:i/>
          <w:color w:val="000000"/>
          <w:sz w:val="22"/>
        </w:rPr>
        <w:t xml:space="preserve">Other uses and disclosures for which an authorization or opportunity to agree or object is not required. </w:t>
      </w:r>
      <w:r>
        <w:rPr>
          <w:rFonts w:ascii="Times New Roman" w:hAnsi="Times New Roman"/>
          <w:b w:val="false"/>
          <w:i w:val="false"/>
          <w:color w:val="000000"/>
          <w:sz w:val="22"/>
        </w:rPr>
        <w:t xml:space="preserve">The department may use or disclose protected health information for which an authorization or opportunity to agree or object is not required, as permitted by 45 CFR §164.512 as amended to January 25, 2013.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9.10(22)</w:t>
      </w:r>
      <w:r>
        <w:rPr>
          <w:rFonts w:ascii="Times New Roman" w:hAnsi="Times New Roman"/>
          <w:b w:val="false"/>
          <w:i w:val="false"/>
          <w:color w:val="000000"/>
          <w:sz w:val="22"/>
        </w:rPr>
        <w:t> </w:t>
      </w:r>
      <w:r>
        <w:rPr>
          <w:rFonts w:ascii="Times New Roman" w:hAnsi="Times New Roman"/>
          <w:b w:val="false"/>
          <w:i/>
          <w:color w:val="000000"/>
          <w:sz w:val="22"/>
        </w:rPr>
        <w:t xml:space="preserve">Victims of domestic violence. </w:t>
      </w:r>
      <w:r>
        <w:rPr>
          <w:rFonts w:ascii="Times New Roman" w:hAnsi="Times New Roman"/>
          <w:b w:val="false"/>
          <w:i w:val="false"/>
          <w:color w:val="000000"/>
          <w:sz w:val="22"/>
        </w:rPr>
        <w:t>The department shall disclose confidential information about an individual whom the department reasonably believes to be a victim of domestic violence when required by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9.10(23)</w:t>
      </w:r>
      <w:r>
        <w:rPr>
          <w:rFonts w:ascii="Times New Roman" w:hAnsi="Times New Roman"/>
          <w:b w:val="false"/>
          <w:i w:val="false"/>
          <w:color w:val="000000"/>
          <w:sz w:val="22"/>
        </w:rPr>
        <w:t> </w:t>
      </w:r>
      <w:r>
        <w:rPr>
          <w:rFonts w:ascii="Times New Roman" w:hAnsi="Times New Roman"/>
          <w:b w:val="false"/>
          <w:i/>
          <w:color w:val="000000"/>
          <w:sz w:val="22"/>
        </w:rPr>
        <w:t xml:space="preserve">Whistle blowers. </w:t>
      </w:r>
      <w:r>
        <w:rPr>
          <w:rFonts w:ascii="Times New Roman" w:hAnsi="Times New Roman"/>
          <w:b w:val="false"/>
          <w:i w:val="false"/>
          <w:color w:val="000000"/>
          <w:sz w:val="22"/>
        </w:rPr>
        <w:t>The department is not considered to have violated the requirements of this chapter when a member of its workforce or a business associate discloses protected health information,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workforce member or business associate has a good-faith belief that the department or a business associate has engaged in conduct that is unlawful or otherwise violates professional or clinical standards, or has provided care, services, or conditions that potentially endanger one or more patients, workers, or the public;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disclosure is made to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health oversight agency or public health authority authorized by law to investigate or oversee conduct or conditions for the purpose of reporting the allegation of failure to meet professional standards or misconduct.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appropriate health care accreditation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attorney retained by or on behalf of the workforce member or business associate for the purpose of determining the legal options of the workforce member or business associate.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9.10(24)</w:t>
      </w:r>
      <w:r>
        <w:rPr>
          <w:rFonts w:ascii="Times New Roman" w:hAnsi="Times New Roman"/>
          <w:b w:val="false"/>
          <w:i w:val="false"/>
          <w:color w:val="000000"/>
          <w:sz w:val="22"/>
        </w:rPr>
        <w:t> </w:t>
      </w:r>
      <w:r>
        <w:rPr>
          <w:rFonts w:ascii="Times New Roman" w:hAnsi="Times New Roman"/>
          <w:b w:val="false"/>
          <w:i/>
          <w:color w:val="000000"/>
          <w:sz w:val="22"/>
        </w:rPr>
        <w:t xml:space="preserve">Secondary to a use or disclosure of protected health information. </w:t>
      </w:r>
      <w:r>
        <w:rPr>
          <w:rFonts w:ascii="Times New Roman" w:hAnsi="Times New Roman"/>
          <w:b w:val="false"/>
          <w:i w:val="false"/>
          <w:color w:val="000000"/>
          <w:sz w:val="22"/>
        </w:rPr>
        <w:t>The department may use or disclose protected health information that is secondary to a use or disclosure otherwise permitted or required by these rules, such as when a visitor in a facility overhears a doctor speaking to a subject about the subject’s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9.10(25)</w:t>
      </w:r>
      <w:r>
        <w:rPr>
          <w:rFonts w:ascii="Times New Roman" w:hAnsi="Times New Roman"/>
          <w:b w:val="false"/>
          <w:i w:val="false"/>
          <w:color w:val="000000"/>
          <w:sz w:val="22"/>
        </w:rPr>
        <w:t> </w:t>
      </w:r>
      <w:r>
        <w:rPr>
          <w:rFonts w:ascii="Times New Roman" w:hAnsi="Times New Roman"/>
          <w:b w:val="false"/>
          <w:i/>
          <w:color w:val="000000"/>
          <w:sz w:val="22"/>
        </w:rPr>
        <w:t xml:space="preserve">De-identified data or a limited data set. </w:t>
      </w:r>
      <w:r>
        <w:rPr>
          <w:rFonts w:ascii="Times New Roman" w:hAnsi="Times New Roman"/>
          <w:b w:val="false"/>
          <w:i w:val="false"/>
          <w:color w:val="000000"/>
          <w:sz w:val="22"/>
        </w:rPr>
        <w:t>The department may use or disclose protected health information to create information that is de-identified or a limited data set under the conditions specified in 45 CFR §164.514 as amended to August 14, 2002.</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C.9.pdf" Type="http://schemas.openxmlformats.org/officeDocument/2006/relationships/hyperlink" Id="rId4"/>
    <Relationship TargetMode="External" Target="https://www.legis.iowa.gov/docs/ico/chapter/11.2.pdf" Type="http://schemas.openxmlformats.org/officeDocument/2006/relationships/hyperlink" Id="rId5"/>
    <Relationship TargetMode="External" Target="https://www.legis.iowa.gov/docs/iac/chapter/441.93.pdf" Type="http://schemas.openxmlformats.org/officeDocument/2006/relationships/hyperlink" Id="rId6"/>
    <Relationship TargetMode="External" Target="https://www.legis.iowa.gov/docs/ico/chapter/125.80.pdf" Type="http://schemas.openxmlformats.org/officeDocument/2006/relationships/hyperlink" Id="rId7"/>
    <Relationship TargetMode="External" Target="https://www.legis.iowa.gov/docs/ico/chapter/125.84.pdf" Type="http://schemas.openxmlformats.org/officeDocument/2006/relationships/hyperlink" Id="rId8"/>
    <Relationship TargetMode="External" Target="https://www.legis.iowa.gov/docs/ico/chapter/125.86.pdf" Type="http://schemas.openxmlformats.org/officeDocument/2006/relationships/hyperlink" Id="rId9"/>
    <Relationship TargetMode="External" Target="https://www.legis.iowa.gov/docs/ico/chapter/229.8.pdf" Type="http://schemas.openxmlformats.org/officeDocument/2006/relationships/hyperlink" Id="rId10"/>
    <Relationship TargetMode="External" Target="https://www.legis.iowa.gov/docs/ico/chapter/229.10.pdf" Type="http://schemas.openxmlformats.org/officeDocument/2006/relationships/hyperlink" Id="rId11"/>
    <Relationship TargetMode="External" Target="https://www.legis.iowa.gov/docs/ico/chapter/229.13.pdf" Type="http://schemas.openxmlformats.org/officeDocument/2006/relationships/hyperlink" Id="rId12"/>
    <Relationship TargetMode="External" Target="https://www.legis.iowa.gov/docs/ico/chapter/229.14.pdf" Type="http://schemas.openxmlformats.org/officeDocument/2006/relationships/hyperlink" Id="rId13"/>
    <Relationship TargetMode="External" Target="https://www.legis.iowa.gov/docs/ico/chapter/229.15.pdf" Type="http://schemas.openxmlformats.org/officeDocument/2006/relationships/hyperlink" Id="rId14"/>
    <Relationship TargetMode="External" Target="https://www.legis.iowa.gov/docs/ico/chapter/229.22.pdf" Type="http://schemas.openxmlformats.org/officeDocument/2006/relationships/hyperlink" Id="rId15"/>
    <Relationship TargetMode="External" Target="https://www.legis.iowa.gov/docs/ico/chapter/232.48.pdf" Type="http://schemas.openxmlformats.org/officeDocument/2006/relationships/hyperlink" Id="rId16"/>
    <Relationship TargetMode="External" Target="https://www.legis.iowa.gov/docs/ico/chapter/232.49.pdf" Type="http://schemas.openxmlformats.org/officeDocument/2006/relationships/hyperlink" Id="rId17"/>
    <Relationship TargetMode="External" Target="https://www.legis.iowa.gov/docs/ico/chapter/232.52.pdf" Type="http://schemas.openxmlformats.org/officeDocument/2006/relationships/hyperlink" Id="rId18"/>
    <Relationship TargetMode="External" Target="https://www.legis.iowa.gov/docs/ico/chapter/232.71B.pdf" Type="http://schemas.openxmlformats.org/officeDocument/2006/relationships/hyperlink" Id="rId19"/>
    <Relationship TargetMode="External" Target="https://www.legis.iowa.gov/docs/ico/chapter/232.81.pdf" Type="http://schemas.openxmlformats.org/officeDocument/2006/relationships/hyperlink" Id="rId20"/>
    <Relationship TargetMode="External" Target="https://www.legis.iowa.gov/docs/ico/chapter/232.97.pdf" Type="http://schemas.openxmlformats.org/officeDocument/2006/relationships/hyperlink" Id="rId21"/>
    <Relationship TargetMode="External" Target="https://www.legis.iowa.gov/docs/ico/chapter/232.98.pdf" Type="http://schemas.openxmlformats.org/officeDocument/2006/relationships/hyperlink" Id="rId22"/>
    <Relationship TargetMode="External" Target="https://www.legis.iowa.gov/docs/ico/chapter/232.102.pdf" Type="http://schemas.openxmlformats.org/officeDocument/2006/relationships/hyperlink" Id="rId23"/>
    <Relationship TargetMode="External" Target="https://www.legis.iowa.gov/docs/ico/chapter/232.111.pdf" Type="http://schemas.openxmlformats.org/officeDocument/2006/relationships/hyperlink" Id="rId24"/>
    <Relationship TargetMode="External" Target="https://www.legis.iowa.gov/docs/ico/chapter/232.117.pdf" Type="http://schemas.openxmlformats.org/officeDocument/2006/relationships/hyperlink" Id="rId25"/>
    <Relationship TargetMode="External" Target="https://www.legis.iowa.gov/docs/ico/chapter/235B.3.pdf" Type="http://schemas.openxmlformats.org/officeDocument/2006/relationships/hyperlink" Id="rId26"/>
    <Relationship TargetMode="External" Target="https://www.legis.iowa.gov/docs/ico/chapter/234.pdf" Type="http://schemas.openxmlformats.org/officeDocument/2006/relationships/hyperlink" Id="rId27"/>
    <Relationship TargetMode="External" Target="https://www.legis.iowa.gov/docs/ico/chapter/252A.pdf" Type="http://schemas.openxmlformats.org/officeDocument/2006/relationships/hyperlink" Id="rId28"/>
    <Relationship TargetMode="External" Target="https://www.legis.iowa.gov/docs/ico/chapter/252B.pdf" Type="http://schemas.openxmlformats.org/officeDocument/2006/relationships/hyperlink" Id="rId29"/>
    <Relationship TargetMode="External" Target="https://www.legis.iowa.gov/docs/ico/chapter/252C.pdf" Type="http://schemas.openxmlformats.org/officeDocument/2006/relationships/hyperlink" Id="rId30"/>
    <Relationship TargetMode="External" Target="https://www.legis.iowa.gov/docs/ico/chapter/252D.pdf" Type="http://schemas.openxmlformats.org/officeDocument/2006/relationships/hyperlink" Id="rId31"/>
    <Relationship TargetMode="External" Target="https://www.legis.iowa.gov/docs/ico/chapter/252E.pdf" Type="http://schemas.openxmlformats.org/officeDocument/2006/relationships/hyperlink" Id="rId32"/>
    <Relationship TargetMode="External" Target="https://www.legis.iowa.gov/docs/ico/chapter/252F.pdf" Type="http://schemas.openxmlformats.org/officeDocument/2006/relationships/hyperlink" Id="rId33"/>
    <Relationship TargetMode="External" Target="https://www.legis.iowa.gov/docs/ico/chapter/252G.pdf" Type="http://schemas.openxmlformats.org/officeDocument/2006/relationships/hyperlink" Id="rId34"/>
    <Relationship TargetMode="External" Target="https://www.legis.iowa.gov/docs/ico/chapter/252H.pdf" Type="http://schemas.openxmlformats.org/officeDocument/2006/relationships/hyperlink" Id="rId35"/>
    <Relationship TargetMode="External" Target="https://www.legis.iowa.gov/docs/ico/chapter/252I.pdf" Type="http://schemas.openxmlformats.org/officeDocument/2006/relationships/hyperlink" Id="rId36"/>
    <Relationship TargetMode="External" Target="https://www.legis.iowa.gov/docs/ico/chapter/252J.pdf" Type="http://schemas.openxmlformats.org/officeDocument/2006/relationships/hyperlink" Id="rId37"/>
    <Relationship TargetMode="External" Target="https://www.legis.iowa.gov/docs/ico/chapter/252K.pdf" Type="http://schemas.openxmlformats.org/officeDocument/2006/relationships/hyperlink" Id="rId38"/>
    <Relationship TargetMode="External" Target="https://www.legis.iowa.gov/docs/ico/chapter/598.pdf" Type="http://schemas.openxmlformats.org/officeDocument/2006/relationships/hyperlink" Id="rId39"/>
    <Relationship TargetMode="External" Target="https://www.legis.iowa.gov/docs/ico/chapter/600B.pdf" Type="http://schemas.openxmlformats.org/officeDocument/2006/relationships/hyperlink" Id="rId40"/>
    <Relationship TargetMode="External" Target="https://www.legis.iowa.gov/docs/iac/rule/441.98.116.pdf" Type="http://schemas.openxmlformats.org/officeDocument/2006/relationships/hyperlink" Id="rId41"/>
    <Relationship TargetMode="External" Target="https://www.legis.iowa.gov/docs/ico/chapter/235A.15.pdf" Type="http://schemas.openxmlformats.org/officeDocument/2006/relationships/hyperlink" Id="rId42"/>
    <Relationship TargetMode="External" Target="https://www.legis.iowa.gov/docs/ico/chapter/235B.7.pdf" Type="http://schemas.openxmlformats.org/officeDocument/2006/relationships/hyperlink" Id="rId43"/>
    <Relationship TargetMode="External" Target="https://www.legis.iowa.gov/docs/ico/chapter/232.71B.pdf" Type="http://schemas.openxmlformats.org/officeDocument/2006/relationships/hyperlink" Id="rId44"/>
    <Relationship TargetMode="External" Target="https://www.legis.iowa.gov/docs/ico/chapter/235B.3.pdf" Type="http://schemas.openxmlformats.org/officeDocument/2006/relationships/hyperlink" Id="rId45"/>
    <Relationship TargetMode="External" Target="https://www.legis.iowa.gov/docs/ico/chapter/235A.17.pdf" Type="http://schemas.openxmlformats.org/officeDocument/2006/relationships/hyperlink" Id="rId46"/>
    <Relationship TargetMode="External" Target="https://www.legis.iowa.gov/docs/ico/chapter/235A.15.pdf" Type="http://schemas.openxmlformats.org/officeDocument/2006/relationships/hyperlink" Id="rId47"/>
    <Relationship TargetMode="External" Target="https://www.legis.iowa.gov/docs/ico/chapter/600.16.pdf" Type="http://schemas.openxmlformats.org/officeDocument/2006/relationships/hyperlink" Id="rId48"/>
    <Relationship TargetMode="External" Target="https://www.legis.iowa.gov/docs/ico/chapter/600.24.pdf" Type="http://schemas.openxmlformats.org/officeDocument/2006/relationships/hyperlink" Id="rId49"/>
    <Relationship TargetMode="External" Target="https://www.legis.iowa.gov/docs/ico/chapter/228.5.pdf" Type="http://schemas.openxmlformats.org/officeDocument/2006/relationships/hyperlink" Id="rId50"/>
    <Relationship TargetMode="External" Target="https://www.legis.iowa.gov/docs/ico/chapter/229.25.pdf" Type="http://schemas.openxmlformats.org/officeDocument/2006/relationships/hyperlink" Id="rId51"/>
    <Relationship TargetMode="External" Target="https://www.legis.iowa.gov/docs/iac/rule/441.175.42.pdf" Type="http://schemas.openxmlformats.org/officeDocument/2006/relationships/hyperlink" Id="rId52"/>
    <Relationship TargetMode="External" Target="https://www.legis.iowa.gov/docs/iac/rule/441.176.12.pdf" Type="http://schemas.openxmlformats.org/officeDocument/2006/relationships/hyperlink" Id="rId53"/>
    <Relationship TargetMode="External" Target="https://www.legis.iowa.gov/docs/ico/chapter/235A.15.pdf" Type="http://schemas.openxmlformats.org/officeDocument/2006/relationships/hyperlink" Id="rId54"/>
    <Relationship TargetMode="External" Target="https://www.legis.iowa.gov/docs/ico/chapter/235B.6.pdf" Type="http://schemas.openxmlformats.org/officeDocument/2006/relationships/hyperlink" Id="rId55"/>
    <Relationship TargetMode="External" Target="https://www.legis.iowa.gov/docs/iac/rule/441.9.10.pdf" Type="http://schemas.openxmlformats.org/officeDocument/2006/relationships/hyperlink" Id="rId5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